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E6" w:rsidRDefault="000C64E6" w:rsidP="000D100D">
      <w:pPr>
        <w:pStyle w:val="Nadpis1"/>
        <w:jc w:val="center"/>
      </w:pPr>
      <w:r w:rsidRPr="000C64E6">
        <w:t>Návrh střednědobého výhledu rozpočtu na roky 2018-2020</w:t>
      </w:r>
    </w:p>
    <w:p w:rsidR="000D100D" w:rsidRPr="000D100D" w:rsidRDefault="000D100D" w:rsidP="000D100D">
      <w:pPr>
        <w:pStyle w:val="Nadpis1"/>
        <w:jc w:val="center"/>
        <w:rPr>
          <w:b/>
          <w:color w:val="7B7B7B" w:themeColor="accent3" w:themeShade="BF"/>
        </w:rPr>
      </w:pPr>
      <w:bookmarkStart w:id="0" w:name="_GoBack"/>
      <w:bookmarkEnd w:id="0"/>
      <w:r w:rsidRPr="000D100D">
        <w:rPr>
          <w:b/>
          <w:color w:val="7B7B7B" w:themeColor="accent3" w:themeShade="BF"/>
          <w:highlight w:val="yellow"/>
        </w:rPr>
        <w:t>Verze 3</w:t>
      </w:r>
    </w:p>
    <w:p w:rsidR="00B63EAD" w:rsidRDefault="00B63EAD" w:rsidP="00B63EAD"/>
    <w:p w:rsidR="00B63EAD" w:rsidRDefault="00B63EAD" w:rsidP="00B63EAD">
      <w:pPr>
        <w:pStyle w:val="Nadpis2"/>
      </w:pPr>
      <w:r>
        <w:t>Dosavadní vývoj rozpočtových příjmů a výdajů</w:t>
      </w:r>
    </w:p>
    <w:p w:rsidR="00007653" w:rsidRDefault="00007653" w:rsidP="00007653"/>
    <w:p w:rsidR="00007653" w:rsidRDefault="00007653" w:rsidP="00007653">
      <w:r>
        <w:t>Město Černovice v minulých obdobích hospodařilo s rozpočty v</w:t>
      </w:r>
      <w:r w:rsidR="001E4FFE">
        <w:t xml:space="preserve">e výších uvedených v tabulce. Konsolidované příjmy jsou uvedeny také. </w:t>
      </w:r>
    </w:p>
    <w:p w:rsidR="001E4FFE" w:rsidRDefault="001E4FFE" w:rsidP="00007653">
      <w:r>
        <w:t xml:space="preserve">Za poslední roky (od změny RUD) došlo k ustálení příjmů a vývoj nelze přesně odhadnout. Město Černovice má jen minimum možností zvýšit své příjmy v daňové části rozpočtu, nejpružnější nástroj pro navýšení příjmů je daň z nemovitostí, lesní hospodářství a výše vodného a stočného. </w:t>
      </w:r>
      <w:r w:rsidR="00E31C4B">
        <w:t xml:space="preserve">Jednorázově je možné navýšit příjem prodejem majetku. </w:t>
      </w:r>
    </w:p>
    <w:tbl>
      <w:tblPr>
        <w:tblStyle w:val="Mkatabulky"/>
        <w:tblW w:w="0" w:type="auto"/>
        <w:tblLook w:val="04A0" w:firstRow="1" w:lastRow="0" w:firstColumn="1" w:lastColumn="0" w:noHBand="0" w:noVBand="1"/>
      </w:tblPr>
      <w:tblGrid>
        <w:gridCol w:w="701"/>
        <w:gridCol w:w="1672"/>
        <w:gridCol w:w="1672"/>
        <w:gridCol w:w="1672"/>
        <w:gridCol w:w="1672"/>
        <w:gridCol w:w="1673"/>
      </w:tblGrid>
      <w:tr w:rsidR="006F1E9A" w:rsidTr="00AE262F">
        <w:trPr>
          <w:trHeight w:val="410"/>
        </w:trPr>
        <w:tc>
          <w:tcPr>
            <w:tcW w:w="701" w:type="dxa"/>
          </w:tcPr>
          <w:p w:rsidR="006F1E9A" w:rsidRDefault="006F1E9A" w:rsidP="00007653">
            <w:r>
              <w:t>Rok</w:t>
            </w:r>
          </w:p>
        </w:tc>
        <w:tc>
          <w:tcPr>
            <w:tcW w:w="1672" w:type="dxa"/>
          </w:tcPr>
          <w:p w:rsidR="006F1E9A" w:rsidRDefault="006F1E9A" w:rsidP="00007653">
            <w:r>
              <w:t>Příjmy</w:t>
            </w:r>
          </w:p>
        </w:tc>
        <w:tc>
          <w:tcPr>
            <w:tcW w:w="1672" w:type="dxa"/>
          </w:tcPr>
          <w:p w:rsidR="006F1E9A" w:rsidRDefault="006F1E9A" w:rsidP="00007653">
            <w:r>
              <w:t>Konsolidované příjmy</w:t>
            </w:r>
          </w:p>
        </w:tc>
        <w:tc>
          <w:tcPr>
            <w:tcW w:w="1672" w:type="dxa"/>
          </w:tcPr>
          <w:p w:rsidR="006F1E9A" w:rsidRDefault="006F1E9A" w:rsidP="00007653">
            <w:r>
              <w:t>Výdaje</w:t>
            </w:r>
          </w:p>
        </w:tc>
        <w:tc>
          <w:tcPr>
            <w:tcW w:w="1672" w:type="dxa"/>
          </w:tcPr>
          <w:p w:rsidR="006F1E9A" w:rsidRDefault="006F1E9A" w:rsidP="00007653">
            <w:r>
              <w:t>Konsolidované výdaje</w:t>
            </w:r>
          </w:p>
        </w:tc>
        <w:tc>
          <w:tcPr>
            <w:tcW w:w="1673" w:type="dxa"/>
          </w:tcPr>
          <w:p w:rsidR="006F1E9A" w:rsidRDefault="006F1E9A" w:rsidP="00007653">
            <w:r>
              <w:t>saldo</w:t>
            </w:r>
          </w:p>
        </w:tc>
      </w:tr>
      <w:tr w:rsidR="006F1E9A" w:rsidTr="006F1E9A">
        <w:tc>
          <w:tcPr>
            <w:tcW w:w="701" w:type="dxa"/>
          </w:tcPr>
          <w:p w:rsidR="006F1E9A" w:rsidRDefault="006F1E9A" w:rsidP="00007653">
            <w:r>
              <w:t>2014</w:t>
            </w:r>
          </w:p>
        </w:tc>
        <w:tc>
          <w:tcPr>
            <w:tcW w:w="1672" w:type="dxa"/>
          </w:tcPr>
          <w:p w:rsidR="006F1E9A" w:rsidRDefault="006F1E9A" w:rsidP="00007653">
            <w:r>
              <w:t>45.488.096,-</w:t>
            </w:r>
          </w:p>
        </w:tc>
        <w:tc>
          <w:tcPr>
            <w:tcW w:w="1672" w:type="dxa"/>
          </w:tcPr>
          <w:p w:rsidR="006F1E9A" w:rsidRDefault="006F1E9A" w:rsidP="00007653">
            <w:r>
              <w:t>38.227.870,-</w:t>
            </w:r>
          </w:p>
        </w:tc>
        <w:tc>
          <w:tcPr>
            <w:tcW w:w="1672" w:type="dxa"/>
          </w:tcPr>
          <w:p w:rsidR="006F1E9A" w:rsidRDefault="006F1E9A" w:rsidP="00007653">
            <w:r>
              <w:t>44.104.124,-</w:t>
            </w:r>
          </w:p>
        </w:tc>
        <w:tc>
          <w:tcPr>
            <w:tcW w:w="1672" w:type="dxa"/>
          </w:tcPr>
          <w:p w:rsidR="006F1E9A" w:rsidRDefault="006F1E9A" w:rsidP="00007653">
            <w:r>
              <w:t>36.844.205,-</w:t>
            </w:r>
          </w:p>
        </w:tc>
        <w:tc>
          <w:tcPr>
            <w:tcW w:w="1673" w:type="dxa"/>
          </w:tcPr>
          <w:p w:rsidR="006F1E9A" w:rsidRDefault="006F1E9A" w:rsidP="00007653">
            <w:r>
              <w:t>+ 1.383.664,-</w:t>
            </w:r>
          </w:p>
        </w:tc>
      </w:tr>
      <w:tr w:rsidR="006F1E9A" w:rsidTr="006F1E9A">
        <w:tc>
          <w:tcPr>
            <w:tcW w:w="701" w:type="dxa"/>
          </w:tcPr>
          <w:p w:rsidR="006F1E9A" w:rsidRDefault="006F1E9A" w:rsidP="00007653">
            <w:r>
              <w:t>2015</w:t>
            </w:r>
          </w:p>
        </w:tc>
        <w:tc>
          <w:tcPr>
            <w:tcW w:w="1672" w:type="dxa"/>
          </w:tcPr>
          <w:p w:rsidR="006F1E9A" w:rsidRDefault="006F1E9A" w:rsidP="00007653">
            <w:r>
              <w:t>41.487.233,-</w:t>
            </w:r>
          </w:p>
        </w:tc>
        <w:tc>
          <w:tcPr>
            <w:tcW w:w="1672" w:type="dxa"/>
          </w:tcPr>
          <w:p w:rsidR="006F1E9A" w:rsidRDefault="006F1E9A" w:rsidP="00007653">
            <w:r>
              <w:t>38.487.233,-</w:t>
            </w:r>
          </w:p>
        </w:tc>
        <w:tc>
          <w:tcPr>
            <w:tcW w:w="1672" w:type="dxa"/>
          </w:tcPr>
          <w:p w:rsidR="006F1E9A" w:rsidRDefault="006F1E9A" w:rsidP="00007653">
            <w:r>
              <w:t>40.831.712,-</w:t>
            </w:r>
          </w:p>
        </w:tc>
        <w:tc>
          <w:tcPr>
            <w:tcW w:w="1672" w:type="dxa"/>
          </w:tcPr>
          <w:p w:rsidR="006F1E9A" w:rsidRDefault="006F1E9A" w:rsidP="00007653">
            <w:r>
              <w:t>37.831.712,-</w:t>
            </w:r>
          </w:p>
        </w:tc>
        <w:tc>
          <w:tcPr>
            <w:tcW w:w="1673" w:type="dxa"/>
          </w:tcPr>
          <w:p w:rsidR="006F1E9A" w:rsidRDefault="006F1E9A" w:rsidP="00007653">
            <w:r>
              <w:t xml:space="preserve">+ </w:t>
            </w:r>
            <w:proofErr w:type="gramStart"/>
            <w:r>
              <w:t>655.520.,-</w:t>
            </w:r>
            <w:proofErr w:type="gramEnd"/>
          </w:p>
        </w:tc>
      </w:tr>
      <w:tr w:rsidR="006F1E9A" w:rsidTr="006F1E9A">
        <w:tc>
          <w:tcPr>
            <w:tcW w:w="701" w:type="dxa"/>
          </w:tcPr>
          <w:p w:rsidR="006F1E9A" w:rsidRDefault="006F1E9A" w:rsidP="00007653">
            <w:r>
              <w:t>2016</w:t>
            </w:r>
          </w:p>
        </w:tc>
        <w:tc>
          <w:tcPr>
            <w:tcW w:w="1672" w:type="dxa"/>
          </w:tcPr>
          <w:p w:rsidR="006F1E9A" w:rsidRDefault="006F1E9A" w:rsidP="00007653">
            <w:r>
              <w:t>38.234.928,-</w:t>
            </w:r>
          </w:p>
        </w:tc>
        <w:tc>
          <w:tcPr>
            <w:tcW w:w="1672" w:type="dxa"/>
          </w:tcPr>
          <w:p w:rsidR="006F1E9A" w:rsidRDefault="006F1E9A" w:rsidP="00007653">
            <w:r>
              <w:t>38.234.928,-</w:t>
            </w:r>
          </w:p>
        </w:tc>
        <w:tc>
          <w:tcPr>
            <w:tcW w:w="1672" w:type="dxa"/>
          </w:tcPr>
          <w:p w:rsidR="006F1E9A" w:rsidRDefault="006F1E9A" w:rsidP="00007653">
            <w:r>
              <w:t>33.567.425,-</w:t>
            </w:r>
          </w:p>
        </w:tc>
        <w:tc>
          <w:tcPr>
            <w:tcW w:w="1672" w:type="dxa"/>
          </w:tcPr>
          <w:p w:rsidR="006F1E9A" w:rsidRDefault="006F1E9A" w:rsidP="00007653">
            <w:r>
              <w:t>33.567.400,-</w:t>
            </w:r>
          </w:p>
        </w:tc>
        <w:tc>
          <w:tcPr>
            <w:tcW w:w="1673" w:type="dxa"/>
          </w:tcPr>
          <w:p w:rsidR="006F1E9A" w:rsidRDefault="006F1E9A" w:rsidP="00007653">
            <w:r>
              <w:t>+ 4.667.527,-</w:t>
            </w:r>
          </w:p>
        </w:tc>
      </w:tr>
    </w:tbl>
    <w:p w:rsidR="001E4FFE" w:rsidRDefault="001E4FFE" w:rsidP="00007653"/>
    <w:p w:rsidR="006F1E9A" w:rsidRDefault="006F1E9A" w:rsidP="00007653">
      <w:r>
        <w:t xml:space="preserve">Hospodaření města za poslední tři roky je pozitivní, vykazuje přebytky a vytváří tak rezervy pro větší investice v dalších letech. </w:t>
      </w:r>
    </w:p>
    <w:p w:rsidR="006F1E9A" w:rsidRDefault="006F1E9A" w:rsidP="00007653">
      <w:r>
        <w:t xml:space="preserve">Zůstatek na účtech města byl k 1.1.2017 </w:t>
      </w:r>
      <w:r w:rsidRPr="006F1E9A">
        <w:rPr>
          <w:b/>
        </w:rPr>
        <w:t>11.651.218,- Kč</w:t>
      </w:r>
      <w:r>
        <w:rPr>
          <w:b/>
        </w:rPr>
        <w:t xml:space="preserve">, </w:t>
      </w:r>
      <w:r>
        <w:t xml:space="preserve">včetně prostředků určených jako rezerva pro investice do vodovodu a kanalizace.  </w:t>
      </w:r>
    </w:p>
    <w:p w:rsidR="006F1E9A" w:rsidRDefault="006F1E9A" w:rsidP="00007653">
      <w:r>
        <w:t xml:space="preserve">Oddělení financí pro obnovu V/K bylo schváleno zastupitelstvem města Černovice na zasedání dne </w:t>
      </w:r>
      <w:proofErr w:type="gramStart"/>
      <w:r w:rsidR="007C4C40">
        <w:t>27.1.2016</w:t>
      </w:r>
      <w:proofErr w:type="gramEnd"/>
      <w:r w:rsidR="007C4C40">
        <w:t xml:space="preserve">, společně s navýšením vodného a stočného na celkovou cenu 32+32 Kč vodné + stočné vč. DPH. </w:t>
      </w:r>
    </w:p>
    <w:p w:rsidR="007C4C40" w:rsidRDefault="007C4C40" w:rsidP="007C4C40">
      <w:pPr>
        <w:rPr>
          <w:rFonts w:ascii="Calibri" w:eastAsia="Times New Roman" w:hAnsi="Calibri" w:cs="Times New Roman"/>
          <w:color w:val="000000"/>
          <w:lang w:eastAsia="cs-CZ"/>
        </w:rPr>
      </w:pPr>
      <w:r>
        <w:t>Účet pro vodní investice měl k </w:t>
      </w:r>
      <w:proofErr w:type="gramStart"/>
      <w:r>
        <w:t>1.1</w:t>
      </w:r>
      <w:proofErr w:type="gramEnd"/>
      <w:r>
        <w:t xml:space="preserve">. zůstatek </w:t>
      </w:r>
      <w:r w:rsidRPr="007C4C40">
        <w:rPr>
          <w:b/>
        </w:rPr>
        <w:t>1.162.089,-</w:t>
      </w:r>
      <w:r>
        <w:rPr>
          <w:b/>
        </w:rPr>
        <w:t xml:space="preserve"> Kč. </w:t>
      </w:r>
      <w:r>
        <w:t xml:space="preserve"> Cíle, stanovené ve strategii rozvoje vodovodů a kanalizací se na straně příjmů podařilo dosáhnout. Očekávaný příjem z vodného a stočného byl za rok 2016 </w:t>
      </w:r>
      <w:r w:rsidRPr="007C4C40">
        <w:rPr>
          <w:b/>
        </w:rPr>
        <w:t>4.881.920,- Kč</w:t>
      </w:r>
      <w:r>
        <w:rPr>
          <w:b/>
        </w:rPr>
        <w:t xml:space="preserve">, </w:t>
      </w:r>
      <w:r>
        <w:t xml:space="preserve">po odečtení mandatorních nákladů (provozovatelská smlouva s firmou </w:t>
      </w:r>
      <w:proofErr w:type="spellStart"/>
      <w:r>
        <w:t>Vodak</w:t>
      </w:r>
      <w:proofErr w:type="spellEnd"/>
      <w:r>
        <w:t xml:space="preserve"> Humpolec s.r.o. </w:t>
      </w:r>
      <w:r w:rsidRPr="007C4C40">
        <w:t>2.019.220,- Kč</w:t>
      </w:r>
      <w:r>
        <w:t xml:space="preserve">) byl očekávaný zůstatek na investice a opravy </w:t>
      </w:r>
      <w:r w:rsidRPr="007C4C40">
        <w:rPr>
          <w:b/>
        </w:rPr>
        <w:t>2.862.700,-</w:t>
      </w:r>
      <w:r>
        <w:rPr>
          <w:b/>
        </w:rPr>
        <w:t xml:space="preserve">. </w:t>
      </w:r>
      <w:r>
        <w:t xml:space="preserve">Reálný stav příjmů za vodné a stočné vykázal přebytek </w:t>
      </w:r>
      <w:r w:rsidR="000E3C48" w:rsidRPr="000E3C48">
        <w:rPr>
          <w:b/>
        </w:rPr>
        <w:t>3.041.948,- Kč</w:t>
      </w:r>
      <w:r w:rsidR="000E3C48">
        <w:t xml:space="preserve"> při celkovém výběru </w:t>
      </w:r>
      <w:r w:rsidRPr="007C4C40">
        <w:rPr>
          <w:rFonts w:ascii="Calibri" w:eastAsia="Times New Roman" w:hAnsi="Calibri" w:cs="Times New Roman"/>
          <w:color w:val="000000"/>
          <w:lang w:eastAsia="cs-CZ"/>
        </w:rPr>
        <w:t>5</w:t>
      </w:r>
      <w:r w:rsidR="000E3C48">
        <w:rPr>
          <w:rFonts w:ascii="Calibri" w:eastAsia="Times New Roman" w:hAnsi="Calibri" w:cs="Times New Roman"/>
          <w:color w:val="000000"/>
          <w:lang w:eastAsia="cs-CZ"/>
        </w:rPr>
        <w:t>.</w:t>
      </w:r>
      <w:r w:rsidRPr="007C4C40">
        <w:rPr>
          <w:rFonts w:ascii="Calibri" w:eastAsia="Times New Roman" w:hAnsi="Calibri" w:cs="Times New Roman"/>
          <w:color w:val="000000"/>
          <w:lang w:eastAsia="cs-CZ"/>
        </w:rPr>
        <w:t>061</w:t>
      </w:r>
      <w:r w:rsidR="000E3C48">
        <w:rPr>
          <w:rFonts w:ascii="Calibri" w:eastAsia="Times New Roman" w:hAnsi="Calibri" w:cs="Times New Roman"/>
          <w:color w:val="000000"/>
          <w:lang w:eastAsia="cs-CZ"/>
        </w:rPr>
        <w:t>.</w:t>
      </w:r>
      <w:r w:rsidRPr="007C4C40">
        <w:rPr>
          <w:rFonts w:ascii="Calibri" w:eastAsia="Times New Roman" w:hAnsi="Calibri" w:cs="Times New Roman"/>
          <w:color w:val="000000"/>
          <w:lang w:eastAsia="cs-CZ"/>
        </w:rPr>
        <w:t>168,</w:t>
      </w:r>
      <w:r w:rsidR="000E3C48">
        <w:rPr>
          <w:rFonts w:ascii="Calibri" w:eastAsia="Times New Roman" w:hAnsi="Calibri" w:cs="Times New Roman"/>
          <w:color w:val="000000"/>
          <w:lang w:eastAsia="cs-CZ"/>
        </w:rPr>
        <w:t xml:space="preserve">-. </w:t>
      </w:r>
    </w:p>
    <w:p w:rsidR="00693DA2" w:rsidRPr="007D26D4" w:rsidRDefault="00693DA2" w:rsidP="007C4C40">
      <w:pPr>
        <w:rPr>
          <w:rFonts w:ascii="Calibri" w:eastAsia="Times New Roman" w:hAnsi="Calibri" w:cs="Times New Roman"/>
          <w:color w:val="000000"/>
          <w:lang w:eastAsia="cs-CZ"/>
        </w:rPr>
      </w:pPr>
      <w:r>
        <w:rPr>
          <w:rFonts w:ascii="Calibri" w:eastAsia="Times New Roman" w:hAnsi="Calibri" w:cs="Times New Roman"/>
          <w:color w:val="000000"/>
          <w:lang w:eastAsia="cs-CZ"/>
        </w:rPr>
        <w:t xml:space="preserve">Bez započtení prostředků na obnovu vodovodu a kanalizace </w:t>
      </w:r>
      <w:r w:rsidR="007D26D4">
        <w:rPr>
          <w:rFonts w:ascii="Calibri" w:eastAsia="Times New Roman" w:hAnsi="Calibri" w:cs="Times New Roman"/>
          <w:color w:val="000000"/>
          <w:lang w:eastAsia="cs-CZ"/>
        </w:rPr>
        <w:t xml:space="preserve">(cca 3.000.000) </w:t>
      </w:r>
      <w:r>
        <w:rPr>
          <w:rFonts w:ascii="Calibri" w:eastAsia="Times New Roman" w:hAnsi="Calibri" w:cs="Times New Roman"/>
          <w:color w:val="000000"/>
          <w:lang w:eastAsia="cs-CZ"/>
        </w:rPr>
        <w:t xml:space="preserve">má město možnost každý rok investovat cca </w:t>
      </w:r>
      <w:r w:rsidRPr="00693DA2">
        <w:rPr>
          <w:rFonts w:ascii="Calibri" w:eastAsia="Times New Roman" w:hAnsi="Calibri" w:cs="Times New Roman"/>
          <w:b/>
          <w:color w:val="000000"/>
          <w:lang w:eastAsia="cs-CZ"/>
        </w:rPr>
        <w:t>8</w:t>
      </w:r>
      <w:r w:rsidR="007D26D4">
        <w:rPr>
          <w:rFonts w:ascii="Calibri" w:eastAsia="Times New Roman" w:hAnsi="Calibri" w:cs="Times New Roman"/>
          <w:b/>
          <w:color w:val="000000"/>
          <w:lang w:eastAsia="cs-CZ"/>
        </w:rPr>
        <w:t>,5</w:t>
      </w:r>
      <w:r w:rsidRPr="00693DA2">
        <w:rPr>
          <w:rFonts w:ascii="Calibri" w:eastAsia="Times New Roman" w:hAnsi="Calibri" w:cs="Times New Roman"/>
          <w:b/>
          <w:color w:val="000000"/>
          <w:lang w:eastAsia="cs-CZ"/>
        </w:rPr>
        <w:t xml:space="preserve"> milion</w:t>
      </w:r>
      <w:r w:rsidR="007D26D4">
        <w:rPr>
          <w:rFonts w:ascii="Calibri" w:eastAsia="Times New Roman" w:hAnsi="Calibri" w:cs="Times New Roman"/>
          <w:b/>
          <w:color w:val="000000"/>
          <w:lang w:eastAsia="cs-CZ"/>
        </w:rPr>
        <w:t>u</w:t>
      </w:r>
      <w:r w:rsidRPr="00693DA2">
        <w:rPr>
          <w:rFonts w:ascii="Calibri" w:eastAsia="Times New Roman" w:hAnsi="Calibri" w:cs="Times New Roman"/>
          <w:b/>
          <w:color w:val="000000"/>
          <w:lang w:eastAsia="cs-CZ"/>
        </w:rPr>
        <w:t xml:space="preserve"> Kč. </w:t>
      </w:r>
      <w:r w:rsidR="007D26D4">
        <w:rPr>
          <w:rFonts w:ascii="Calibri" w:eastAsia="Times New Roman" w:hAnsi="Calibri" w:cs="Times New Roman"/>
          <w:color w:val="000000"/>
          <w:lang w:eastAsia="cs-CZ"/>
        </w:rPr>
        <w:t xml:space="preserve">V roce 2017 totiž došlo k výraznému navýšení státního příspěvku na výkon opatrovnictví ve výši cca 1,8 milionu Kč. Budoucnost tohoto příspěvku není jistá, i když změny </w:t>
      </w:r>
      <w:proofErr w:type="spellStart"/>
      <w:r w:rsidR="007D26D4">
        <w:rPr>
          <w:rFonts w:ascii="Calibri" w:eastAsia="Times New Roman" w:hAnsi="Calibri" w:cs="Times New Roman"/>
          <w:color w:val="000000"/>
          <w:lang w:eastAsia="cs-CZ"/>
        </w:rPr>
        <w:t>avízovány</w:t>
      </w:r>
      <w:proofErr w:type="spellEnd"/>
      <w:r w:rsidR="007D26D4">
        <w:rPr>
          <w:rFonts w:ascii="Calibri" w:eastAsia="Times New Roman" w:hAnsi="Calibri" w:cs="Times New Roman"/>
          <w:color w:val="000000"/>
          <w:lang w:eastAsia="cs-CZ"/>
        </w:rPr>
        <w:t xml:space="preserve"> nejsou. </w:t>
      </w:r>
    </w:p>
    <w:p w:rsidR="000E3C48" w:rsidRDefault="000E3C48" w:rsidP="000E3C48"/>
    <w:p w:rsidR="00594CAE" w:rsidRDefault="00594CAE" w:rsidP="000E3C48"/>
    <w:p w:rsidR="00594CAE" w:rsidRDefault="00594CAE" w:rsidP="000E3C48"/>
    <w:p w:rsidR="00594CAE" w:rsidRDefault="00594CAE" w:rsidP="000E3C48"/>
    <w:p w:rsidR="00594CAE" w:rsidRPr="000E3C48" w:rsidRDefault="00594CAE" w:rsidP="000E3C48"/>
    <w:p w:rsidR="000E3C48" w:rsidRDefault="000E3C48" w:rsidP="00B63EAD">
      <w:pPr>
        <w:pStyle w:val="Nadpis2"/>
      </w:pPr>
      <w:r>
        <w:t>Plánované investice města v dalších letech a nutné infrastrukturní výdaje</w:t>
      </w:r>
    </w:p>
    <w:p w:rsidR="000E3C48" w:rsidRDefault="000E3C48" w:rsidP="000E3C48">
      <w:r>
        <w:t xml:space="preserve">Město má databázi záměrů, ke kterým postupně připravuje projektové dokumentace k realizaci. </w:t>
      </w:r>
    </w:p>
    <w:p w:rsidR="000E3C48" w:rsidRDefault="000E3C48" w:rsidP="000E3C48">
      <w:r>
        <w:t>Část investic byla schválena v rozpočtu na rok 2017</w:t>
      </w:r>
      <w:r w:rsidR="00FE2BDE">
        <w:t>.</w:t>
      </w:r>
    </w:p>
    <w:p w:rsidR="00FE2BDE" w:rsidRDefault="00FE2BDE" w:rsidP="000E3C48"/>
    <w:tbl>
      <w:tblPr>
        <w:tblStyle w:val="Mkatabulky"/>
        <w:tblW w:w="0" w:type="auto"/>
        <w:tblLook w:val="04A0" w:firstRow="1" w:lastRow="0" w:firstColumn="1" w:lastColumn="0" w:noHBand="0" w:noVBand="1"/>
      </w:tblPr>
      <w:tblGrid>
        <w:gridCol w:w="4531"/>
        <w:gridCol w:w="4531"/>
      </w:tblGrid>
      <w:tr w:rsidR="00FE2BDE" w:rsidTr="00FE2BDE">
        <w:tc>
          <w:tcPr>
            <w:tcW w:w="4531" w:type="dxa"/>
          </w:tcPr>
          <w:p w:rsidR="00FE2BDE" w:rsidRDefault="00FE2BDE" w:rsidP="000E3C48">
            <w:r>
              <w:t>Výdaj v roce 2017</w:t>
            </w:r>
          </w:p>
        </w:tc>
        <w:tc>
          <w:tcPr>
            <w:tcW w:w="4531" w:type="dxa"/>
          </w:tcPr>
          <w:p w:rsidR="00FE2BDE" w:rsidRDefault="00FE2BDE" w:rsidP="000E3C48">
            <w:r>
              <w:t>Částka</w:t>
            </w:r>
          </w:p>
        </w:tc>
      </w:tr>
      <w:tr w:rsidR="00FE2BDE" w:rsidTr="00FE2BDE">
        <w:tc>
          <w:tcPr>
            <w:tcW w:w="4531" w:type="dxa"/>
          </w:tcPr>
          <w:p w:rsidR="00FE2BDE" w:rsidRDefault="00FE2BDE" w:rsidP="000E3C48">
            <w:r>
              <w:t>Nákup lesního traktoru</w:t>
            </w:r>
          </w:p>
        </w:tc>
        <w:tc>
          <w:tcPr>
            <w:tcW w:w="4531" w:type="dxa"/>
          </w:tcPr>
          <w:p w:rsidR="00FE2BDE" w:rsidRDefault="00FE2BDE" w:rsidP="000E3C48">
            <w:r>
              <w:t>1.800.000,-</w:t>
            </w:r>
          </w:p>
        </w:tc>
      </w:tr>
      <w:tr w:rsidR="00FE2BDE" w:rsidTr="00FE2BDE">
        <w:tc>
          <w:tcPr>
            <w:tcW w:w="4531" w:type="dxa"/>
          </w:tcPr>
          <w:p w:rsidR="00FE2BDE" w:rsidRDefault="00FE2BDE" w:rsidP="000E3C48">
            <w:r>
              <w:t>Rekonstrukce vodovodu ve Stříteži</w:t>
            </w:r>
          </w:p>
        </w:tc>
        <w:tc>
          <w:tcPr>
            <w:tcW w:w="4531" w:type="dxa"/>
          </w:tcPr>
          <w:p w:rsidR="00FE2BDE" w:rsidRDefault="00FE2BDE" w:rsidP="000E3C48">
            <w:r>
              <w:t>2.400.000,-</w:t>
            </w:r>
          </w:p>
        </w:tc>
      </w:tr>
      <w:tr w:rsidR="00FE2BDE" w:rsidTr="00FE2BDE">
        <w:tc>
          <w:tcPr>
            <w:tcW w:w="4531" w:type="dxa"/>
          </w:tcPr>
          <w:p w:rsidR="00FE2BDE" w:rsidRDefault="00494CAC" w:rsidP="000E3C48">
            <w:r>
              <w:t>Vodojem Střítež</w:t>
            </w:r>
          </w:p>
        </w:tc>
        <w:tc>
          <w:tcPr>
            <w:tcW w:w="4531" w:type="dxa"/>
          </w:tcPr>
          <w:p w:rsidR="00FE2BDE" w:rsidRDefault="00494CAC" w:rsidP="000E3C48">
            <w:r>
              <w:t>600.000,-</w:t>
            </w:r>
          </w:p>
        </w:tc>
      </w:tr>
      <w:tr w:rsidR="00FE2BDE" w:rsidTr="00FE2BDE">
        <w:tc>
          <w:tcPr>
            <w:tcW w:w="4531" w:type="dxa"/>
          </w:tcPr>
          <w:p w:rsidR="00FE2BDE" w:rsidRDefault="00494CAC" w:rsidP="000E3C48">
            <w:r>
              <w:t>Vystrojení vrtu Benešov</w:t>
            </w:r>
          </w:p>
        </w:tc>
        <w:tc>
          <w:tcPr>
            <w:tcW w:w="4531" w:type="dxa"/>
          </w:tcPr>
          <w:p w:rsidR="00FE2BDE" w:rsidRDefault="00494CAC" w:rsidP="000E3C48">
            <w:r>
              <w:t>300.000,-</w:t>
            </w:r>
          </w:p>
        </w:tc>
      </w:tr>
      <w:tr w:rsidR="00FE2BDE" w:rsidTr="00FE2BDE">
        <w:tc>
          <w:tcPr>
            <w:tcW w:w="4531" w:type="dxa"/>
          </w:tcPr>
          <w:p w:rsidR="00FE2BDE" w:rsidRDefault="00494CAC" w:rsidP="000E3C48">
            <w:r>
              <w:t>Rozšíření parcel pro RD Lokálka (6 parcel)</w:t>
            </w:r>
          </w:p>
        </w:tc>
        <w:tc>
          <w:tcPr>
            <w:tcW w:w="4531" w:type="dxa"/>
          </w:tcPr>
          <w:p w:rsidR="00FE2BDE" w:rsidRDefault="00494CAC" w:rsidP="000E3C48">
            <w:r>
              <w:t>1.000.000,-</w:t>
            </w:r>
          </w:p>
        </w:tc>
      </w:tr>
      <w:tr w:rsidR="00FE2BDE" w:rsidTr="00FE2BDE">
        <w:tc>
          <w:tcPr>
            <w:tcW w:w="4531" w:type="dxa"/>
          </w:tcPr>
          <w:p w:rsidR="00FE2BDE" w:rsidRDefault="00494CAC" w:rsidP="000E3C48">
            <w:r>
              <w:t>Investice do zefektivnění ČOV Černovice</w:t>
            </w:r>
          </w:p>
        </w:tc>
        <w:tc>
          <w:tcPr>
            <w:tcW w:w="4531" w:type="dxa"/>
          </w:tcPr>
          <w:p w:rsidR="00FE2BDE" w:rsidRDefault="00494CAC" w:rsidP="000E3C48">
            <w:r>
              <w:t>1.000.000,-</w:t>
            </w:r>
          </w:p>
        </w:tc>
      </w:tr>
      <w:tr w:rsidR="00FE2BDE" w:rsidTr="00FE2BDE">
        <w:tc>
          <w:tcPr>
            <w:tcW w:w="4531" w:type="dxa"/>
          </w:tcPr>
          <w:p w:rsidR="00FE2BDE" w:rsidRDefault="00494CAC" w:rsidP="000E3C48">
            <w:r>
              <w:t>Oprava kostela v </w:t>
            </w:r>
            <w:proofErr w:type="spellStart"/>
            <w:r>
              <w:t>Dobešově</w:t>
            </w:r>
            <w:proofErr w:type="spellEnd"/>
          </w:p>
        </w:tc>
        <w:tc>
          <w:tcPr>
            <w:tcW w:w="4531" w:type="dxa"/>
          </w:tcPr>
          <w:p w:rsidR="00FE2BDE" w:rsidRDefault="00494CAC" w:rsidP="000E3C48">
            <w:r>
              <w:t>400.000,-</w:t>
            </w:r>
          </w:p>
        </w:tc>
      </w:tr>
      <w:tr w:rsidR="00494CAC" w:rsidTr="00FE2BDE">
        <w:tc>
          <w:tcPr>
            <w:tcW w:w="4531" w:type="dxa"/>
          </w:tcPr>
          <w:p w:rsidR="00494CAC" w:rsidRDefault="00494CAC" w:rsidP="000E3C48">
            <w:r>
              <w:t>Oprava střechy na bývalé škole v Benešově</w:t>
            </w:r>
          </w:p>
        </w:tc>
        <w:tc>
          <w:tcPr>
            <w:tcW w:w="4531" w:type="dxa"/>
          </w:tcPr>
          <w:p w:rsidR="00494CAC" w:rsidRDefault="00494CAC" w:rsidP="000E3C48">
            <w:r>
              <w:t>285.000,-</w:t>
            </w:r>
          </w:p>
        </w:tc>
      </w:tr>
      <w:tr w:rsidR="00494CAC" w:rsidTr="00FE2BDE">
        <w:tc>
          <w:tcPr>
            <w:tcW w:w="4531" w:type="dxa"/>
          </w:tcPr>
          <w:p w:rsidR="00494CAC" w:rsidRDefault="00494CAC" w:rsidP="000E3C48">
            <w:r>
              <w:t>Koupě Sokolovny</w:t>
            </w:r>
          </w:p>
        </w:tc>
        <w:tc>
          <w:tcPr>
            <w:tcW w:w="4531" w:type="dxa"/>
          </w:tcPr>
          <w:p w:rsidR="00494CAC" w:rsidRDefault="00494CAC" w:rsidP="000E3C48">
            <w:r>
              <w:t>3.000.000,-</w:t>
            </w:r>
          </w:p>
        </w:tc>
      </w:tr>
      <w:tr w:rsidR="00494CAC" w:rsidTr="00FE2BDE">
        <w:tc>
          <w:tcPr>
            <w:tcW w:w="4531" w:type="dxa"/>
          </w:tcPr>
          <w:p w:rsidR="00494CAC" w:rsidRDefault="00494CAC" w:rsidP="000E3C48">
            <w:r>
              <w:t>Oprava střechy na Sokolovně</w:t>
            </w:r>
          </w:p>
        </w:tc>
        <w:tc>
          <w:tcPr>
            <w:tcW w:w="4531" w:type="dxa"/>
          </w:tcPr>
          <w:p w:rsidR="00494CAC" w:rsidRDefault="00494CAC" w:rsidP="000E3C48">
            <w:r>
              <w:t>1.800.000,-</w:t>
            </w:r>
          </w:p>
        </w:tc>
      </w:tr>
      <w:tr w:rsidR="00494CAC" w:rsidTr="00FE2BDE">
        <w:tc>
          <w:tcPr>
            <w:tcW w:w="4531" w:type="dxa"/>
          </w:tcPr>
          <w:p w:rsidR="00494CAC" w:rsidRDefault="00494CAC" w:rsidP="000E3C48">
            <w:r>
              <w:t>Rekonstrukce VO v Benešově nebo ve Svatavě</w:t>
            </w:r>
          </w:p>
        </w:tc>
        <w:tc>
          <w:tcPr>
            <w:tcW w:w="4531" w:type="dxa"/>
          </w:tcPr>
          <w:p w:rsidR="00494CAC" w:rsidRDefault="00494CAC" w:rsidP="000E3C48">
            <w:r>
              <w:t>465.000,-</w:t>
            </w:r>
          </w:p>
        </w:tc>
      </w:tr>
      <w:tr w:rsidR="00494CAC" w:rsidTr="00FE2BDE">
        <w:tc>
          <w:tcPr>
            <w:tcW w:w="4531" w:type="dxa"/>
          </w:tcPr>
          <w:p w:rsidR="00494CAC" w:rsidRDefault="00494CAC" w:rsidP="000E3C48">
            <w:r>
              <w:t>Bezbariérový přístup do budovy úřadu</w:t>
            </w:r>
          </w:p>
        </w:tc>
        <w:tc>
          <w:tcPr>
            <w:tcW w:w="4531" w:type="dxa"/>
          </w:tcPr>
          <w:p w:rsidR="00494CAC" w:rsidRDefault="00494CAC" w:rsidP="000E3C48">
            <w:r>
              <w:t>320.000,-</w:t>
            </w:r>
          </w:p>
        </w:tc>
      </w:tr>
      <w:tr w:rsidR="00494CAC" w:rsidTr="00FE2BDE">
        <w:tc>
          <w:tcPr>
            <w:tcW w:w="4531" w:type="dxa"/>
          </w:tcPr>
          <w:p w:rsidR="00494CAC" w:rsidRDefault="00494CAC" w:rsidP="000E3C48">
            <w:r>
              <w:t>Splátka úvěru</w:t>
            </w:r>
          </w:p>
        </w:tc>
        <w:tc>
          <w:tcPr>
            <w:tcW w:w="4531" w:type="dxa"/>
          </w:tcPr>
          <w:p w:rsidR="00494CAC" w:rsidRDefault="00494CAC" w:rsidP="000E3C48">
            <w:r>
              <w:t>2.522.737,-</w:t>
            </w:r>
          </w:p>
        </w:tc>
      </w:tr>
    </w:tbl>
    <w:p w:rsidR="00FE2BDE" w:rsidRDefault="00FE2BDE" w:rsidP="000E3C48"/>
    <w:p w:rsidR="00FE2BDE" w:rsidRDefault="00494CAC" w:rsidP="000E3C48">
      <w:r>
        <w:t xml:space="preserve">Není zahrnuta nejdůležitější akce, původně plánována na rok 2017 – rekonstrukce Mariánského náměstí. </w:t>
      </w:r>
      <w:r w:rsidR="006D5B5F">
        <w:t xml:space="preserve">Projekt nemá zatím platné stavební povolení z důvodu odvolání jednoho z účastníků řízení a není jisté, kdy se povolení podaří získat. </w:t>
      </w:r>
    </w:p>
    <w:p w:rsidR="006D5B5F" w:rsidRDefault="006D5B5F" w:rsidP="000E3C48">
      <w:r>
        <w:t xml:space="preserve">Rozpočet na rok 2017 je schválen jako schodkový, s návrhem financování ve výši </w:t>
      </w:r>
      <w:r w:rsidRPr="006D5B5F">
        <w:rPr>
          <w:b/>
        </w:rPr>
        <w:t>4.522.737,- Kč</w:t>
      </w:r>
      <w:r>
        <w:t xml:space="preserve">. Tyto peníze se vezmou z rezervy na účtech města. </w:t>
      </w:r>
    </w:p>
    <w:p w:rsidR="000E3C48" w:rsidRDefault="006D5B5F" w:rsidP="000E3C48">
      <w:r>
        <w:t>Seznam záměrů a důležitých investic (u projektů, kde to je možné, je uvedena předpokládaná cena)</w:t>
      </w:r>
    </w:p>
    <w:tbl>
      <w:tblPr>
        <w:tblStyle w:val="Mkatabulky"/>
        <w:tblW w:w="0" w:type="auto"/>
        <w:tblLook w:val="04A0" w:firstRow="1" w:lastRow="0" w:firstColumn="1" w:lastColumn="0" w:noHBand="0" w:noVBand="1"/>
      </w:tblPr>
      <w:tblGrid>
        <w:gridCol w:w="4531"/>
        <w:gridCol w:w="4531"/>
      </w:tblGrid>
      <w:tr w:rsidR="006D5B5F" w:rsidTr="006D5B5F">
        <w:tc>
          <w:tcPr>
            <w:tcW w:w="4531" w:type="dxa"/>
          </w:tcPr>
          <w:p w:rsidR="006D5B5F" w:rsidRDefault="006D5B5F" w:rsidP="000E3C48">
            <w:r>
              <w:t>Projekt</w:t>
            </w:r>
          </w:p>
        </w:tc>
        <w:tc>
          <w:tcPr>
            <w:tcW w:w="4531" w:type="dxa"/>
          </w:tcPr>
          <w:p w:rsidR="006D5B5F" w:rsidRDefault="006D5B5F" w:rsidP="000E3C48">
            <w:r>
              <w:t xml:space="preserve">Výše nákladů (v případě </w:t>
            </w:r>
            <w:proofErr w:type="gramStart"/>
            <w:r w:rsidRPr="006C3F3C">
              <w:rPr>
                <w:b/>
              </w:rPr>
              <w:t>očekávaných</w:t>
            </w:r>
            <w:r>
              <w:t>(!) použití</w:t>
            </w:r>
            <w:proofErr w:type="gramEnd"/>
            <w:r>
              <w:t xml:space="preserve"> dotací je v závorce uvedena výše dotace)</w:t>
            </w:r>
          </w:p>
        </w:tc>
      </w:tr>
      <w:tr w:rsidR="006D5B5F" w:rsidTr="006D5B5F">
        <w:tc>
          <w:tcPr>
            <w:tcW w:w="4531" w:type="dxa"/>
          </w:tcPr>
          <w:p w:rsidR="006D5B5F" w:rsidRDefault="006D5B5F" w:rsidP="000E3C48">
            <w:r>
              <w:t>Rekonstrukce Mariánského náměstí</w:t>
            </w:r>
            <w:r w:rsidR="003626BD">
              <w:t>, včetně sítí</w:t>
            </w:r>
          </w:p>
        </w:tc>
        <w:tc>
          <w:tcPr>
            <w:tcW w:w="4531" w:type="dxa"/>
          </w:tcPr>
          <w:p w:rsidR="006D5B5F" w:rsidRDefault="006D5B5F" w:rsidP="000E3C48">
            <w:r>
              <w:t>22.000.000,-</w:t>
            </w:r>
          </w:p>
        </w:tc>
      </w:tr>
      <w:tr w:rsidR="006D5B5F" w:rsidTr="006D5B5F">
        <w:tc>
          <w:tcPr>
            <w:tcW w:w="4531" w:type="dxa"/>
          </w:tcPr>
          <w:p w:rsidR="006D5B5F" w:rsidRDefault="006D5B5F" w:rsidP="000E3C48">
            <w:r>
              <w:t>Rekonstrukce vodovodní sítě v oblasti pramenišť a připojení zdroje Střítež</w:t>
            </w:r>
          </w:p>
        </w:tc>
        <w:tc>
          <w:tcPr>
            <w:tcW w:w="4531" w:type="dxa"/>
          </w:tcPr>
          <w:p w:rsidR="006D5B5F" w:rsidRDefault="00DD4EAB" w:rsidP="000E3C48">
            <w:r>
              <w:t>15.000.000,- (75%)</w:t>
            </w:r>
          </w:p>
        </w:tc>
      </w:tr>
      <w:tr w:rsidR="006D5B5F" w:rsidTr="006D5B5F">
        <w:tc>
          <w:tcPr>
            <w:tcW w:w="4531" w:type="dxa"/>
          </w:tcPr>
          <w:p w:rsidR="006D5B5F" w:rsidRDefault="00DD4EAB" w:rsidP="000E3C48">
            <w:r>
              <w:t xml:space="preserve">Další etapy rekonstrukce Sokolovny – zateplení, fasáda, výměna topení, stavební úpravy dispozic, úprava hospody, zázemí pro účinkující </w:t>
            </w:r>
            <w:proofErr w:type="gramStart"/>
            <w:r>
              <w:t>atd..</w:t>
            </w:r>
            <w:proofErr w:type="gramEnd"/>
          </w:p>
        </w:tc>
        <w:tc>
          <w:tcPr>
            <w:tcW w:w="4531" w:type="dxa"/>
          </w:tcPr>
          <w:p w:rsidR="006D5B5F" w:rsidRDefault="00DD4EAB" w:rsidP="000E3C48">
            <w:r>
              <w:t>12.000.000,- (max. 20%)</w:t>
            </w:r>
          </w:p>
        </w:tc>
      </w:tr>
      <w:tr w:rsidR="006D5B5F" w:rsidTr="006D5B5F">
        <w:tc>
          <w:tcPr>
            <w:tcW w:w="4531" w:type="dxa"/>
          </w:tcPr>
          <w:p w:rsidR="006D5B5F" w:rsidRDefault="00DD4EAB" w:rsidP="000E3C48">
            <w:r>
              <w:t>Oprava Nádražní ulice, včetně sítí</w:t>
            </w:r>
          </w:p>
        </w:tc>
        <w:tc>
          <w:tcPr>
            <w:tcW w:w="4531" w:type="dxa"/>
          </w:tcPr>
          <w:p w:rsidR="00DD4EAB" w:rsidRDefault="00DD4EAB" w:rsidP="000E3C48">
            <w:r>
              <w:t>4.500.000,-</w:t>
            </w:r>
          </w:p>
        </w:tc>
      </w:tr>
      <w:tr w:rsidR="00DD4EAB" w:rsidTr="006D5B5F">
        <w:tc>
          <w:tcPr>
            <w:tcW w:w="4531" w:type="dxa"/>
          </w:tcPr>
          <w:p w:rsidR="00DD4EAB" w:rsidRDefault="00DD4EAB" w:rsidP="000E3C48">
            <w:r>
              <w:t>Úprava kina</w:t>
            </w:r>
          </w:p>
        </w:tc>
        <w:tc>
          <w:tcPr>
            <w:tcW w:w="4531" w:type="dxa"/>
          </w:tcPr>
          <w:p w:rsidR="00DD4EAB" w:rsidRDefault="006C3F3C" w:rsidP="000E3C48">
            <w:r>
              <w:t xml:space="preserve">3.000.000,- </w:t>
            </w:r>
          </w:p>
        </w:tc>
      </w:tr>
      <w:tr w:rsidR="00DD4EAB" w:rsidTr="006D5B5F">
        <w:tc>
          <w:tcPr>
            <w:tcW w:w="4531" w:type="dxa"/>
          </w:tcPr>
          <w:p w:rsidR="00DD4EAB" w:rsidRDefault="00DD4EAB" w:rsidP="000E3C48">
            <w:r>
              <w:t>Demolice budov z jižní strany kostela</w:t>
            </w:r>
          </w:p>
        </w:tc>
        <w:tc>
          <w:tcPr>
            <w:tcW w:w="4531" w:type="dxa"/>
          </w:tcPr>
          <w:p w:rsidR="00DD4EAB" w:rsidRDefault="006C3F3C" w:rsidP="006C3F3C">
            <w:r>
              <w:t>2.0</w:t>
            </w:r>
            <w:r w:rsidR="00DD4EAB">
              <w:t>00.000,-</w:t>
            </w:r>
          </w:p>
        </w:tc>
      </w:tr>
      <w:tr w:rsidR="00DD4EAB" w:rsidTr="006D5B5F">
        <w:tc>
          <w:tcPr>
            <w:tcW w:w="4531" w:type="dxa"/>
          </w:tcPr>
          <w:p w:rsidR="00DD4EAB" w:rsidRDefault="00DD4EAB" w:rsidP="006C3F3C">
            <w:r>
              <w:t xml:space="preserve">Oprava </w:t>
            </w:r>
            <w:r w:rsidR="006C3F3C">
              <w:t xml:space="preserve">chodníků ve </w:t>
            </w:r>
            <w:proofErr w:type="spellStart"/>
            <w:r w:rsidR="006C3F3C">
              <w:t>S</w:t>
            </w:r>
            <w:r>
              <w:t>vatavské</w:t>
            </w:r>
            <w:proofErr w:type="spellEnd"/>
            <w:r>
              <w:t xml:space="preserve"> ulic</w:t>
            </w:r>
            <w:r w:rsidR="006C3F3C">
              <w:t>i</w:t>
            </w:r>
          </w:p>
        </w:tc>
        <w:tc>
          <w:tcPr>
            <w:tcW w:w="4531" w:type="dxa"/>
          </w:tcPr>
          <w:p w:rsidR="00DD4EAB" w:rsidRDefault="00DD4EAB" w:rsidP="00100EE0">
            <w:r>
              <w:t>2.</w:t>
            </w:r>
            <w:r w:rsidR="00100EE0">
              <w:t>0</w:t>
            </w:r>
            <w:r>
              <w:t>00.000,-</w:t>
            </w:r>
          </w:p>
        </w:tc>
      </w:tr>
      <w:tr w:rsidR="00DD4EAB" w:rsidTr="006D5B5F">
        <w:tc>
          <w:tcPr>
            <w:tcW w:w="4531" w:type="dxa"/>
          </w:tcPr>
          <w:p w:rsidR="00DD4EAB" w:rsidRDefault="00DD4EAB" w:rsidP="006C3F3C">
            <w:r>
              <w:t xml:space="preserve">Rozšíření </w:t>
            </w:r>
            <w:r w:rsidR="003626BD">
              <w:t xml:space="preserve">parcel pro RD </w:t>
            </w:r>
            <w:r w:rsidR="006C3F3C">
              <w:t>na Lokálce – III. etapa</w:t>
            </w:r>
          </w:p>
        </w:tc>
        <w:tc>
          <w:tcPr>
            <w:tcW w:w="4531" w:type="dxa"/>
          </w:tcPr>
          <w:p w:rsidR="00DD4EAB" w:rsidRDefault="006C3F3C" w:rsidP="000E3C48">
            <w:r>
              <w:t>1.000.000,-</w:t>
            </w:r>
          </w:p>
        </w:tc>
      </w:tr>
      <w:tr w:rsidR="003626BD" w:rsidTr="006D5B5F">
        <w:tc>
          <w:tcPr>
            <w:tcW w:w="4531" w:type="dxa"/>
          </w:tcPr>
          <w:p w:rsidR="003626BD" w:rsidRDefault="003626BD" w:rsidP="000E3C48">
            <w:r>
              <w:t xml:space="preserve">Oprava domu </w:t>
            </w:r>
            <w:proofErr w:type="gramStart"/>
            <w:r>
              <w:t>č.p.</w:t>
            </w:r>
            <w:proofErr w:type="gramEnd"/>
            <w:r>
              <w:t xml:space="preserve"> 149 – sociální bydlení</w:t>
            </w:r>
          </w:p>
        </w:tc>
        <w:tc>
          <w:tcPr>
            <w:tcW w:w="4531" w:type="dxa"/>
          </w:tcPr>
          <w:p w:rsidR="003626BD" w:rsidRDefault="003626BD" w:rsidP="000E3C48"/>
        </w:tc>
      </w:tr>
      <w:tr w:rsidR="003626BD" w:rsidTr="006D5B5F">
        <w:tc>
          <w:tcPr>
            <w:tcW w:w="4531" w:type="dxa"/>
          </w:tcPr>
          <w:p w:rsidR="003626BD" w:rsidRDefault="003626BD" w:rsidP="000E3C48">
            <w:r>
              <w:t>Navýšení počtu obecních bytů</w:t>
            </w:r>
          </w:p>
        </w:tc>
        <w:tc>
          <w:tcPr>
            <w:tcW w:w="4531" w:type="dxa"/>
          </w:tcPr>
          <w:p w:rsidR="003626BD" w:rsidRDefault="006C3F3C" w:rsidP="000E3C48">
            <w:r>
              <w:t>17.000.000,- (85%)</w:t>
            </w:r>
          </w:p>
        </w:tc>
      </w:tr>
      <w:tr w:rsidR="003626BD" w:rsidTr="006D5B5F">
        <w:tc>
          <w:tcPr>
            <w:tcW w:w="4531" w:type="dxa"/>
          </w:tcPr>
          <w:p w:rsidR="003626BD" w:rsidRDefault="003626BD" w:rsidP="000E3C48">
            <w:r>
              <w:t xml:space="preserve">Kanalizace </w:t>
            </w:r>
            <w:proofErr w:type="spellStart"/>
            <w:r>
              <w:t>Dobešov</w:t>
            </w:r>
            <w:proofErr w:type="spellEnd"/>
          </w:p>
        </w:tc>
        <w:tc>
          <w:tcPr>
            <w:tcW w:w="4531" w:type="dxa"/>
          </w:tcPr>
          <w:p w:rsidR="003626BD" w:rsidRDefault="003626BD" w:rsidP="000E3C48">
            <w:r>
              <w:t>15.000.000,- (75%)</w:t>
            </w:r>
          </w:p>
        </w:tc>
      </w:tr>
      <w:tr w:rsidR="003626BD" w:rsidTr="006D5B5F">
        <w:tc>
          <w:tcPr>
            <w:tcW w:w="4531" w:type="dxa"/>
          </w:tcPr>
          <w:p w:rsidR="003626BD" w:rsidRDefault="003626BD" w:rsidP="000E3C48">
            <w:r>
              <w:t xml:space="preserve">Kulturní a sportovní zázemí v </w:t>
            </w:r>
            <w:proofErr w:type="spellStart"/>
            <w:r>
              <w:t>Dobešově</w:t>
            </w:r>
            <w:proofErr w:type="spellEnd"/>
          </w:p>
        </w:tc>
        <w:tc>
          <w:tcPr>
            <w:tcW w:w="4531" w:type="dxa"/>
          </w:tcPr>
          <w:p w:rsidR="003626BD" w:rsidRDefault="003626BD" w:rsidP="000E3C48">
            <w:r>
              <w:t>2.000.000,-</w:t>
            </w:r>
          </w:p>
        </w:tc>
      </w:tr>
      <w:tr w:rsidR="003626BD" w:rsidTr="006D5B5F">
        <w:tc>
          <w:tcPr>
            <w:tcW w:w="4531" w:type="dxa"/>
          </w:tcPr>
          <w:p w:rsidR="003626BD" w:rsidRDefault="003626BD" w:rsidP="000E3C48">
            <w:r>
              <w:t>Oprava domu v Ozdravovně</w:t>
            </w:r>
          </w:p>
        </w:tc>
        <w:tc>
          <w:tcPr>
            <w:tcW w:w="4531" w:type="dxa"/>
          </w:tcPr>
          <w:p w:rsidR="003626BD" w:rsidRDefault="003626BD" w:rsidP="003626BD">
            <w:r>
              <w:t>1.500.000,-</w:t>
            </w:r>
          </w:p>
        </w:tc>
      </w:tr>
      <w:tr w:rsidR="003626BD" w:rsidTr="006D5B5F">
        <w:tc>
          <w:tcPr>
            <w:tcW w:w="4531" w:type="dxa"/>
          </w:tcPr>
          <w:p w:rsidR="003626BD" w:rsidRDefault="003626BD" w:rsidP="000E3C48">
            <w:r>
              <w:lastRenderedPageBreak/>
              <w:t>Vestavba nových učeben a zbudování výtahu v ZŠ</w:t>
            </w:r>
          </w:p>
        </w:tc>
        <w:tc>
          <w:tcPr>
            <w:tcW w:w="4531" w:type="dxa"/>
          </w:tcPr>
          <w:p w:rsidR="003626BD" w:rsidRDefault="003626BD" w:rsidP="003626BD">
            <w:r>
              <w:t>22.000.000,- (80%)</w:t>
            </w:r>
          </w:p>
        </w:tc>
      </w:tr>
      <w:tr w:rsidR="003626BD" w:rsidTr="006D5B5F">
        <w:tc>
          <w:tcPr>
            <w:tcW w:w="4531" w:type="dxa"/>
          </w:tcPr>
          <w:p w:rsidR="003626BD" w:rsidRDefault="003626BD" w:rsidP="000E3C48">
            <w:r>
              <w:t>Rekonstrukce střechy na ZŠ</w:t>
            </w:r>
          </w:p>
        </w:tc>
        <w:tc>
          <w:tcPr>
            <w:tcW w:w="4531" w:type="dxa"/>
          </w:tcPr>
          <w:p w:rsidR="003626BD" w:rsidRDefault="003626BD" w:rsidP="003626BD">
            <w:r>
              <w:t>3.000.000,-</w:t>
            </w:r>
          </w:p>
        </w:tc>
      </w:tr>
      <w:tr w:rsidR="003F0D40" w:rsidTr="006D5B5F">
        <w:tc>
          <w:tcPr>
            <w:tcW w:w="4531" w:type="dxa"/>
          </w:tcPr>
          <w:p w:rsidR="003F0D40" w:rsidRDefault="003F0D40" w:rsidP="000E3C48">
            <w:r>
              <w:t>Příprava zázemí pro výrobu či výrobní zóny</w:t>
            </w:r>
          </w:p>
        </w:tc>
        <w:tc>
          <w:tcPr>
            <w:tcW w:w="4531" w:type="dxa"/>
          </w:tcPr>
          <w:p w:rsidR="003F0D40" w:rsidRDefault="003F0D40" w:rsidP="003626BD"/>
        </w:tc>
      </w:tr>
    </w:tbl>
    <w:p w:rsidR="006D5B5F" w:rsidRDefault="006D5B5F" w:rsidP="000E3C48"/>
    <w:p w:rsidR="000E3C48" w:rsidRDefault="003F0D40" w:rsidP="002D686C">
      <w:r>
        <w:t xml:space="preserve">Výčet nutných investic není rozhodně konečný a nezahrnuje běžné opravy či úpravy, </w:t>
      </w:r>
      <w:proofErr w:type="spellStart"/>
      <w:r>
        <w:t>přepodkládané</w:t>
      </w:r>
      <w:proofErr w:type="spellEnd"/>
      <w:r>
        <w:t xml:space="preserve"> náklady na projekční práce (které jsou nezanedbatelné) a zcela jistě projde úpravami během let, na které je rozpočtový výhled sestavován. </w:t>
      </w:r>
      <w:r w:rsidR="002D686C">
        <w:t xml:space="preserve">Významnou, ale nezmíněnou složkou jsou opravy silnic – ty jsou navázané na plánované opravy vodovodů a kanalizací a měly by jít vždy v souladu s těmito investicemi. </w:t>
      </w:r>
    </w:p>
    <w:p w:rsidR="003F0D40" w:rsidRPr="003F0D40" w:rsidRDefault="003F0D40" w:rsidP="003F0D40"/>
    <w:p w:rsidR="00B63EAD" w:rsidRDefault="00B63EAD" w:rsidP="00B63EAD">
      <w:pPr>
        <w:pStyle w:val="Nadpis2"/>
      </w:pPr>
      <w:r>
        <w:t>SWOT analýza města</w:t>
      </w:r>
    </w:p>
    <w:p w:rsidR="003F0D40" w:rsidRDefault="003F0D40" w:rsidP="003F0D40"/>
    <w:tbl>
      <w:tblPr>
        <w:tblStyle w:val="Mkatabulky"/>
        <w:tblW w:w="0" w:type="auto"/>
        <w:tblLook w:val="04A0" w:firstRow="1" w:lastRow="0" w:firstColumn="1" w:lastColumn="0" w:noHBand="0" w:noVBand="1"/>
      </w:tblPr>
      <w:tblGrid>
        <w:gridCol w:w="4531"/>
        <w:gridCol w:w="4531"/>
      </w:tblGrid>
      <w:tr w:rsidR="003F0D40" w:rsidTr="003F0D40">
        <w:tc>
          <w:tcPr>
            <w:tcW w:w="4531" w:type="dxa"/>
          </w:tcPr>
          <w:p w:rsidR="003F0D40" w:rsidRDefault="003F0D40" w:rsidP="003F0D40">
            <w:r>
              <w:t>Silné stránky</w:t>
            </w:r>
          </w:p>
        </w:tc>
        <w:tc>
          <w:tcPr>
            <w:tcW w:w="4531" w:type="dxa"/>
          </w:tcPr>
          <w:p w:rsidR="003F0D40" w:rsidRDefault="003F0D40" w:rsidP="003F0D40">
            <w:r>
              <w:t>Slabé stránky</w:t>
            </w:r>
          </w:p>
        </w:tc>
      </w:tr>
      <w:tr w:rsidR="003F0D40" w:rsidTr="003F0D40">
        <w:tc>
          <w:tcPr>
            <w:tcW w:w="4531" w:type="dxa"/>
          </w:tcPr>
          <w:p w:rsidR="003F0D40" w:rsidRDefault="003F0D40" w:rsidP="003F0D40">
            <w:r>
              <w:t>- dostatek prostoru pro rozvoj</w:t>
            </w:r>
          </w:p>
          <w:p w:rsidR="003F0D40" w:rsidRDefault="003F0D40" w:rsidP="003F0D40">
            <w:r>
              <w:t>- neporušená krajina, při správném hospodaření s dostatkem vlastních vodních zdrojů</w:t>
            </w:r>
          </w:p>
          <w:p w:rsidR="003F0D40" w:rsidRDefault="003F0D40" w:rsidP="003F0D40">
            <w:r>
              <w:t>- dobrá finanční kondice města, jak po stránce rezerv, tak po stránce běžných výdajů</w:t>
            </w:r>
          </w:p>
          <w:p w:rsidR="003F0D40" w:rsidRDefault="003F0D40" w:rsidP="003F0D40">
            <w:r>
              <w:t>- nízká zadluženost</w:t>
            </w:r>
          </w:p>
          <w:p w:rsidR="003F0D40" w:rsidRDefault="003F0D40" w:rsidP="003F0D40">
            <w:r>
              <w:t>- poměrně velké množství lesů, generujících jistý příjem</w:t>
            </w:r>
          </w:p>
          <w:p w:rsidR="003F0D40" w:rsidRDefault="003F0D40" w:rsidP="003F0D40">
            <w:r>
              <w:t>- nízká nezaměstnanost</w:t>
            </w:r>
          </w:p>
        </w:tc>
        <w:tc>
          <w:tcPr>
            <w:tcW w:w="4531" w:type="dxa"/>
          </w:tcPr>
          <w:p w:rsidR="003F0D40" w:rsidRDefault="003F0D40" w:rsidP="003F0D40">
            <w:r>
              <w:t>- Špatná demografická situace, trvalý úbytek obyvatel</w:t>
            </w:r>
          </w:p>
          <w:p w:rsidR="003F0D40" w:rsidRDefault="003F0D40" w:rsidP="003F0D40">
            <w:r>
              <w:t>- úbytek služeb, zásadních pro obyvatele – lékař, lékárna</w:t>
            </w:r>
          </w:p>
          <w:p w:rsidR="003F0D40" w:rsidRDefault="003F0D40" w:rsidP="003F0D40">
            <w:r>
              <w:t>- mnoho budov a objektů, vyžadujících rekonstrukci nebo investice</w:t>
            </w:r>
          </w:p>
          <w:p w:rsidR="003F0D40" w:rsidRDefault="003F0D40" w:rsidP="003F0D40">
            <w:r>
              <w:t xml:space="preserve">- </w:t>
            </w:r>
            <w:proofErr w:type="gramStart"/>
            <w:r>
              <w:t>chybějící  kvalitní</w:t>
            </w:r>
            <w:proofErr w:type="gramEnd"/>
            <w:r>
              <w:t xml:space="preserve"> dopravní dostupnost pro průmyslovou výrobu</w:t>
            </w:r>
          </w:p>
          <w:p w:rsidR="003F0D40" w:rsidRDefault="003F0D40" w:rsidP="003F0D40">
            <w:r>
              <w:t xml:space="preserve">- </w:t>
            </w:r>
            <w:r w:rsidR="005F4152">
              <w:t>chybějící průmyslová zóna nebo možnost rozvoje průmyslu a výroby</w:t>
            </w:r>
          </w:p>
          <w:p w:rsidR="005F4152" w:rsidRDefault="005F4152" w:rsidP="003F0D40">
            <w:r>
              <w:t>- jednostranná orientace zaměstnanosti</w:t>
            </w:r>
          </w:p>
        </w:tc>
      </w:tr>
      <w:tr w:rsidR="003F0D40" w:rsidTr="003F0D40">
        <w:tc>
          <w:tcPr>
            <w:tcW w:w="4531" w:type="dxa"/>
          </w:tcPr>
          <w:p w:rsidR="003F0D40" w:rsidRDefault="003F0D40" w:rsidP="003F0D40">
            <w:r>
              <w:t>Příležitosti</w:t>
            </w:r>
          </w:p>
        </w:tc>
        <w:tc>
          <w:tcPr>
            <w:tcW w:w="4531" w:type="dxa"/>
          </w:tcPr>
          <w:p w:rsidR="003F0D40" w:rsidRDefault="003F0D40" w:rsidP="003F0D40">
            <w:r>
              <w:t>Hrozby</w:t>
            </w:r>
          </w:p>
        </w:tc>
      </w:tr>
      <w:tr w:rsidR="003F0D40" w:rsidTr="003F0D40">
        <w:tc>
          <w:tcPr>
            <w:tcW w:w="4531" w:type="dxa"/>
          </w:tcPr>
          <w:p w:rsidR="003F0D40" w:rsidRDefault="005F4152" w:rsidP="003F0D40">
            <w:r>
              <w:t>- změnit demografickou situaci – vytvořit zázemí pro mladé rodiny a otočit demografický vývoj</w:t>
            </w:r>
          </w:p>
          <w:p w:rsidR="005F4152" w:rsidRDefault="005F4152" w:rsidP="003F0D40">
            <w:r>
              <w:t>- zajistit výrobní kapacity města pro posílení možnosti zaměstnání</w:t>
            </w:r>
          </w:p>
          <w:p w:rsidR="002D6F12" w:rsidRDefault="002D6F12" w:rsidP="003F0D40">
            <w:r>
              <w:t>- zlepšit atraktivitu města pro turismus a podpořit tak podnikání</w:t>
            </w:r>
          </w:p>
          <w:p w:rsidR="004B565A" w:rsidRDefault="004B565A" w:rsidP="003F0D40">
            <w:r>
              <w:t xml:space="preserve">- oprava Sokolovny výrazně změní možnosti kultury města </w:t>
            </w:r>
          </w:p>
          <w:p w:rsidR="004B565A" w:rsidRDefault="004B565A" w:rsidP="003F0D40">
            <w:r>
              <w:t>- efektivní systém zásobování vodou a správné nastavení ceny vodného a stočného zvýší možnosti oprav a investic do vodohospodářských staveb</w:t>
            </w:r>
          </w:p>
          <w:p w:rsidR="004B565A" w:rsidRDefault="004B565A" w:rsidP="003F0D40">
            <w:r>
              <w:t>- prodej nebo PPP projekt na rekonstrukci bývalé školky a její přestavbu na byty může přitáhnout do města mladé rodiny</w:t>
            </w:r>
          </w:p>
          <w:p w:rsidR="004B565A" w:rsidRDefault="004B565A" w:rsidP="003F0D40">
            <w:r>
              <w:t>- pozemkové úpravy umožní lepší hospodaření v krajině a rozvojové plochy města</w:t>
            </w:r>
          </w:p>
        </w:tc>
        <w:tc>
          <w:tcPr>
            <w:tcW w:w="4531" w:type="dxa"/>
          </w:tcPr>
          <w:p w:rsidR="003F0D40" w:rsidRDefault="004B565A" w:rsidP="003F0D40">
            <w:r>
              <w:t>- klimatické změny ovlivní vydatnost a kvalitu vodních zdrojů</w:t>
            </w:r>
          </w:p>
          <w:p w:rsidR="009A1692" w:rsidRDefault="009A1692" w:rsidP="003F0D40">
            <w:r>
              <w:t>- úbytek obyvatel bude dále pokračovat, což povede k dalšímu útlumu služeb, obchodu i například školství</w:t>
            </w:r>
          </w:p>
          <w:p w:rsidR="009A1692" w:rsidRDefault="009A1692" w:rsidP="003F0D40">
            <w:r>
              <w:t>- významní zaměstnavatelé v Černovicích omezí počet zaměstnanců</w:t>
            </w:r>
          </w:p>
          <w:p w:rsidR="009A1692" w:rsidRDefault="009A1692" w:rsidP="003F0D40">
            <w:r>
              <w:t>- město nedokáže financovat zásadní infrastrukturní projekty, zejména do vodovodů a kanalizací, a současný zhoršující se stav bude pokračovat.</w:t>
            </w:r>
          </w:p>
          <w:p w:rsidR="009A1692" w:rsidRDefault="009A1692" w:rsidP="003F0D40"/>
        </w:tc>
      </w:tr>
    </w:tbl>
    <w:p w:rsidR="003F0D40" w:rsidRPr="003F0D40" w:rsidRDefault="003F0D40" w:rsidP="003F0D40"/>
    <w:p w:rsidR="009A1692" w:rsidRDefault="009A1692" w:rsidP="00B63EAD">
      <w:r>
        <w:t>Jako zásadní příležitost, hrozbu i výzvu vidíme demografickou situaci. Vývoj počtu obyvatel za po</w:t>
      </w:r>
      <w:r w:rsidR="00804A97">
        <w:t xml:space="preserve">slední roky je velmi nepříznivý, stejně tak demografická struktura. </w:t>
      </w:r>
      <w:r w:rsidR="00F83C08">
        <w:t xml:space="preserve">Opatření pro změnu tohoto vývoje jsou komplexní, nelze je vyřešit jednorázovou akcí. </w:t>
      </w:r>
    </w:p>
    <w:p w:rsidR="00F83C08" w:rsidRDefault="00F83C08" w:rsidP="00B63EAD">
      <w:r>
        <w:lastRenderedPageBreak/>
        <w:t>Vývoj obyvatelstva od roku 2000-2015</w:t>
      </w:r>
    </w:p>
    <w:p w:rsidR="00F83C08" w:rsidRDefault="00F83C08" w:rsidP="00B63EAD"/>
    <w:p w:rsidR="002667DA" w:rsidRDefault="00D26891" w:rsidP="002667DA">
      <w:pPr>
        <w:keepNext/>
      </w:pPr>
      <w:r>
        <w:rPr>
          <w:noProof/>
          <w:lang w:eastAsia="cs-CZ"/>
        </w:rPr>
        <w:drawing>
          <wp:inline distT="0" distB="0" distL="0" distR="0" wp14:anchorId="69F88559" wp14:editId="3B84C0D5">
            <wp:extent cx="5760720" cy="4565015"/>
            <wp:effectExtent l="0" t="0" r="11430" b="698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83C08" w:rsidRDefault="000C64E6" w:rsidP="002667DA">
      <w:pPr>
        <w:pStyle w:val="Titulek"/>
      </w:pPr>
      <w:r>
        <w:fldChar w:fldCharType="begin"/>
      </w:r>
      <w:r>
        <w:instrText xml:space="preserve"> SEQ Obrázek \* ARABIC </w:instrText>
      </w:r>
      <w:r>
        <w:fldChar w:fldCharType="separate"/>
      </w:r>
      <w:r w:rsidR="000D100D">
        <w:rPr>
          <w:noProof/>
        </w:rPr>
        <w:t>1</w:t>
      </w:r>
      <w:r>
        <w:rPr>
          <w:noProof/>
        </w:rPr>
        <w:fldChar w:fldCharType="end"/>
      </w:r>
      <w:r w:rsidR="002667DA">
        <w:t>: Počet obyvatel 2000-2015</w:t>
      </w:r>
      <w:r w:rsidR="002667DA">
        <w:rPr>
          <w:noProof/>
        </w:rPr>
        <w:t xml:space="preserve"> (zdroj: czso.cz)</w:t>
      </w:r>
    </w:p>
    <w:p w:rsidR="00F83C08" w:rsidRDefault="00F83C08" w:rsidP="00B63EAD"/>
    <w:p w:rsidR="002667DA" w:rsidRDefault="002D686C" w:rsidP="002667DA">
      <w:pPr>
        <w:keepNext/>
        <w:jc w:val="center"/>
      </w:pPr>
      <w:r>
        <w:rPr>
          <w:noProof/>
          <w:lang w:eastAsia="cs-CZ"/>
        </w:rPr>
        <w:drawing>
          <wp:inline distT="0" distB="0" distL="0" distR="0" wp14:anchorId="7FF5A7C4" wp14:editId="0E31F9A0">
            <wp:extent cx="5638800" cy="237172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D686C" w:rsidRDefault="000C64E6" w:rsidP="002667DA">
      <w:pPr>
        <w:pStyle w:val="Titulek"/>
      </w:pPr>
      <w:r>
        <w:fldChar w:fldCharType="begin"/>
      </w:r>
      <w:r>
        <w:instrText xml:space="preserve"> SEQ Obrázek \* ARABIC </w:instrText>
      </w:r>
      <w:r>
        <w:fldChar w:fldCharType="separate"/>
      </w:r>
      <w:r w:rsidR="000D100D">
        <w:rPr>
          <w:noProof/>
        </w:rPr>
        <w:t>2</w:t>
      </w:r>
      <w:r>
        <w:rPr>
          <w:noProof/>
        </w:rPr>
        <w:fldChar w:fldCharType="end"/>
      </w:r>
      <w:r w:rsidR="002667DA" w:rsidRPr="006C4563">
        <w:t xml:space="preserve">: </w:t>
      </w:r>
      <w:r w:rsidR="002667DA">
        <w:t>Narození a zemřelí</w:t>
      </w:r>
      <w:r w:rsidR="002667DA" w:rsidRPr="006C4563">
        <w:t xml:space="preserve"> 2000-2015 (zdroj: czso.cz)</w:t>
      </w:r>
    </w:p>
    <w:p w:rsidR="00045DA5" w:rsidRDefault="00045DA5" w:rsidP="00045DA5">
      <w:r>
        <w:lastRenderedPageBreak/>
        <w:t xml:space="preserve">Od roku 2000 počet obyvatel vytrvale klesá. V roce 2000 to také bylo naposledy, co jsme měli více dětí do 15 let, než seniorů nad 65 let. Trend pokračuje a k 1. 1. 2017 má město Černovice přesně </w:t>
      </w:r>
      <w:r w:rsidRPr="002D686C">
        <w:rPr>
          <w:b/>
        </w:rPr>
        <w:t>1700 obyvatel.</w:t>
      </w:r>
      <w:r>
        <w:t xml:space="preserve"> </w:t>
      </w:r>
    </w:p>
    <w:p w:rsidR="00045DA5" w:rsidRDefault="00045DA5" w:rsidP="00045DA5">
      <w:r>
        <w:t>Úbytek obyvatel má zásadní a negativní efekty pro celé město. Jak je vidět, křivky narozených a zemřelých občanů mají velmi podobný průběh</w:t>
      </w:r>
      <w:r w:rsidR="00AF0DB2">
        <w:t>.</w:t>
      </w:r>
    </w:p>
    <w:p w:rsidR="00AF0DB2" w:rsidRDefault="00AF0DB2" w:rsidP="00045DA5"/>
    <w:p w:rsidR="002667DA" w:rsidRDefault="00AF0DB2" w:rsidP="002667DA">
      <w:pPr>
        <w:keepNext/>
        <w:jc w:val="center"/>
      </w:pPr>
      <w:r>
        <w:rPr>
          <w:noProof/>
          <w:lang w:eastAsia="cs-CZ"/>
        </w:rPr>
        <w:drawing>
          <wp:inline distT="0" distB="0" distL="0" distR="0" wp14:anchorId="4F63A455" wp14:editId="3CA43655">
            <wp:extent cx="5591175" cy="2743200"/>
            <wp:effectExtent l="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5DA5" w:rsidRDefault="000C64E6" w:rsidP="002667DA">
      <w:pPr>
        <w:pStyle w:val="Titulek"/>
      </w:pPr>
      <w:r>
        <w:fldChar w:fldCharType="begin"/>
      </w:r>
      <w:r>
        <w:instrText xml:space="preserve"> SEQ Obrázek \* ARABIC </w:instrText>
      </w:r>
      <w:r>
        <w:fldChar w:fldCharType="separate"/>
      </w:r>
      <w:r w:rsidR="000D100D">
        <w:rPr>
          <w:noProof/>
        </w:rPr>
        <w:t>3</w:t>
      </w:r>
      <w:r>
        <w:rPr>
          <w:noProof/>
        </w:rPr>
        <w:fldChar w:fldCharType="end"/>
      </w:r>
      <w:r w:rsidR="002667DA">
        <w:t>:</w:t>
      </w:r>
      <w:r w:rsidR="002667DA" w:rsidRPr="002B2F99">
        <w:t>Přirozený a migrační přírůstek v letech 2000-2015</w:t>
      </w:r>
      <w:r w:rsidR="002667DA">
        <w:t xml:space="preserve"> (zdroj: </w:t>
      </w:r>
      <w:r w:rsidR="002667DA" w:rsidRPr="002B2F99">
        <w:t>www.czso.cz</w:t>
      </w:r>
      <w:r w:rsidR="002667DA">
        <w:t>)</w:t>
      </w:r>
    </w:p>
    <w:p w:rsidR="00045DA5" w:rsidRDefault="00AF0DB2" w:rsidP="00AF0DB2">
      <w:r>
        <w:t xml:space="preserve">Při srovnání migračního a přirozeného přírůstku či úbytku je vidět, že zásadní vliv má migrace, tedy stěhování do či z města Černovice. Přirozený přírůstek je stabilně záporný (tedy přirozený úbytek), zatímco migrace vůbec s tímto vývojem nekoreluje. </w:t>
      </w:r>
    </w:p>
    <w:p w:rsidR="002667DA" w:rsidRDefault="002667DA" w:rsidP="00AF0DB2">
      <w:pPr>
        <w:rPr>
          <w:i/>
        </w:rPr>
      </w:pPr>
      <w:r w:rsidRPr="002667DA">
        <w:rPr>
          <w:i/>
        </w:rPr>
        <w:t>Pozn</w:t>
      </w:r>
      <w:r>
        <w:rPr>
          <w:i/>
        </w:rPr>
        <w:t>.</w:t>
      </w:r>
      <w:r w:rsidRPr="002667DA">
        <w:rPr>
          <w:i/>
        </w:rPr>
        <w:t>: Bohužel, v datech českého statistického úřadu jsou chyby, jak ukazují výsledky. V datech, která obsahují údaj o věkových kategoriích a v datech o migraci jsou rozdíly v řádu jednotlivců. Nejsem schopen rozlišit, kter</w:t>
      </w:r>
      <w:r>
        <w:rPr>
          <w:i/>
        </w:rPr>
        <w:t xml:space="preserve">ý údaj je správný. Pro analýzu vývoje i nepřesná data mohou sloužit. </w:t>
      </w:r>
    </w:p>
    <w:p w:rsidR="00F83C08" w:rsidRDefault="00F83C08" w:rsidP="00F83C08">
      <w:pPr>
        <w:pStyle w:val="Nadpis2"/>
      </w:pPr>
    </w:p>
    <w:p w:rsidR="00F83C08" w:rsidRDefault="00F83C08" w:rsidP="00F83C08">
      <w:pPr>
        <w:pStyle w:val="Nadpis2"/>
      </w:pPr>
      <w:r>
        <w:t>Rozpočtový výhled na roky 2018-2021</w:t>
      </w:r>
    </w:p>
    <w:p w:rsidR="00F83C08" w:rsidRDefault="00F83C08" w:rsidP="00F83C08">
      <w:r>
        <w:t xml:space="preserve">Město Černovice očekává uhrazení původního dluhu z roku 2012 na stavbu ZTV pro rodinné domy (Lokálka) v roce 2017. </w:t>
      </w:r>
    </w:p>
    <w:p w:rsidR="00F83C08" w:rsidRDefault="00F83C08" w:rsidP="00F83C08">
      <w:r>
        <w:t xml:space="preserve">Na rekonstrukci Mariánského náměstí plánuje vzít město úvěr ve výši 20 milionů Kč, splatný po dobu 15 let. Dluhové zatížení města bude únosné, ale další zadlužení obtížné. Dle nabídek bank je nutno počítat se splátkou ve výši cca </w:t>
      </w:r>
      <w:r w:rsidRPr="00F83C08">
        <w:rPr>
          <w:b/>
        </w:rPr>
        <w:t>2 milionů Kč ročně po dobu 15 let.</w:t>
      </w:r>
      <w:r>
        <w:t xml:space="preserve"> O tuto sumu se sníží každoroční možné investice. </w:t>
      </w:r>
      <w:r w:rsidR="00F27DB9">
        <w:t xml:space="preserve">Výše celkových investičních výdajů mimo vodovody a kanalizace je stanovena na 7,5 milionu Kč, </w:t>
      </w:r>
      <w:r w:rsidR="009A62A6">
        <w:t>se zachováním rezervy na další výdaje</w:t>
      </w:r>
      <w:r w:rsidR="00F27DB9">
        <w:t xml:space="preserve">. </w:t>
      </w:r>
    </w:p>
    <w:p w:rsidR="00F83C08" w:rsidRDefault="009A62A6" w:rsidP="00F83C08">
      <w:r>
        <w:t xml:space="preserve">V rozpočtovém výhledu dostává prioritu rekonstrukce Mariánského náměstí a na druhém místě rekonstrukce Sokolovny. Oba dva záměry mají cíl zvýšit úroveň života ve městě a vytvořit tak město atraktivnější – posílit pozitivní image města. Náměstí je přirozeným centrem a jeho rekonstrukce by mohla mít pozitivní dopad i bez dalších opatření. </w:t>
      </w:r>
    </w:p>
    <w:p w:rsidR="005D1993" w:rsidRDefault="009A62A6" w:rsidP="00F83C08">
      <w:r>
        <w:lastRenderedPageBreak/>
        <w:t>U rekonstrukce Sokolovny je žádoucí dále s tímto objektem pracovat a vytvořit v něm kulturní centrum nejen stavem budovy, ale také nabídkou kulturních případně sportovních akcí. V souvislosti s tímto plánem bude nutné v rozpočtu navýšit prostředky na kulturu, v ideálním případě i vytvořit pracovní místo pro člověka, který bude tyto záležitosti pro město jako celek řešit.</w:t>
      </w:r>
    </w:p>
    <w:p w:rsidR="009A62A6" w:rsidRDefault="005D1993" w:rsidP="00F83C08">
      <w:r>
        <w:t xml:space="preserve">Vzhledem k nákladům jak investičním, tak provozním se nevyplatí zbourat budovu kina. Roční náklady na provoz a vytápění jsou kolem 20 tisíc Kč. Úpravy dispozic kina se také nevyplatí, vestavba na půdě je příliš náročná (znamenala by výměnu celé střechy). Jako optimální se jeví varianta kino zachovat, opravit fasádu a krytinu, uvnitř provést úpravy sálu jen ve smyslu vylepšení hlediště i jeviště (možné realizovat průběžně), úprava zázemí a používat kino pro občasná divadla či promítání filmů. </w:t>
      </w:r>
      <w:r w:rsidR="009A62A6">
        <w:t xml:space="preserve"> </w:t>
      </w:r>
    </w:p>
    <w:p w:rsidR="00445A13" w:rsidRDefault="00445A13" w:rsidP="00F83C08">
      <w:r>
        <w:t>Investice do ZŠ je další z případů, jak konkurovat ostatním obcím v nabídce služeb. Aktuálně vypsané projekty v </w:t>
      </w:r>
      <w:proofErr w:type="spellStart"/>
      <w:r>
        <w:t>IROPu</w:t>
      </w:r>
      <w:proofErr w:type="spellEnd"/>
      <w:r>
        <w:t xml:space="preserve"> chtějí využít prakticky všechny školy v okolí a tak tato investice je spíše udržením kroku s ostatními, než posunem vpřed. Ale protože pro někoho může být i úroveň školy rozhodujícím faktorem pro to, zda chce ve městě žít, je nutné tyto investice realizovat. </w:t>
      </w:r>
    </w:p>
    <w:p w:rsidR="00445A13" w:rsidRDefault="00445A13" w:rsidP="00F83C08">
      <w:r>
        <w:t>Město má a pravděpodobně až do roku 2020 bude mít k dispozici pozemky pro stavbu rodinných domů. Aktuální stav jsou 3 volné, v roce 2017 by mělo přibýt dalších 6 a na rok 20</w:t>
      </w:r>
      <w:r w:rsidR="00BD7754">
        <w:t>20</w:t>
      </w:r>
      <w:r>
        <w:t xml:space="preserve"> je v plánu další příprava </w:t>
      </w:r>
      <w:r w:rsidR="005D1993">
        <w:t>4-5 dalších pozemků ve III. etapě Lokálky</w:t>
      </w:r>
      <w:r>
        <w:t xml:space="preserve">. </w:t>
      </w:r>
    </w:p>
    <w:p w:rsidR="005D1993" w:rsidRDefault="005D1993" w:rsidP="00F83C08">
      <w:r>
        <w:t xml:space="preserve">Další příležitostí je vybudování 8 nových bytů v bývalé MŠ. </w:t>
      </w:r>
      <w:r w:rsidR="005C0C30">
        <w:t xml:space="preserve">V případě úspěchu dotace lze zahájit práce už v roce 2018, s postupným financováním. </w:t>
      </w:r>
    </w:p>
    <w:p w:rsidR="005C0C30" w:rsidRDefault="005C0C30" w:rsidP="00F83C08">
      <w:pPr>
        <w:rPr>
          <w:b/>
        </w:rPr>
      </w:pPr>
      <w:r w:rsidRPr="005C0C30">
        <w:rPr>
          <w:b/>
        </w:rPr>
        <w:t xml:space="preserve">Pokud dojde k souběhu více náročných projektů, jako je současná úprava ZŠ na nové učebny a zároveň bude město realizovat vestavbu bytů do MŠ, přestože jde o projekty s 85% dotací, bude nutné vzít krátkodobý úvěr pro překlenutí období od zahájení prací do zpětného proplacení dotace. Je také nutné počítat se spoluúčastí. </w:t>
      </w:r>
    </w:p>
    <w:p w:rsidR="00A56BDC" w:rsidRDefault="00A56BDC" w:rsidP="00F83C08">
      <w:r>
        <w:t xml:space="preserve">Projekt na nové učebny ve škole je daleko méně časově variabilní, protože musí koordinovat realizaci se školním rokem a výukou. Naproti tomu stavba bytů v MŠ je vysoce variabilní a je možné práce zahájit tak, aby začaly na podzim 2018 a probíhaly během roku 2019. </w:t>
      </w:r>
    </w:p>
    <w:p w:rsidR="00445A13" w:rsidRDefault="00A56BDC" w:rsidP="00F83C08">
      <w:r>
        <w:t xml:space="preserve">Tabulka uvádí očekávané výdaje města BEZ ZAPOČTENÝCH DOTACÍ. Pouze přímý rozpočtový dopad. Kde je realizace závislá na získání dotace, je seznam investic seřazen podle klesající priority.  </w:t>
      </w:r>
    </w:p>
    <w:tbl>
      <w:tblPr>
        <w:tblStyle w:val="Mkatabulky"/>
        <w:tblW w:w="0" w:type="auto"/>
        <w:tblLook w:val="04A0" w:firstRow="1" w:lastRow="0" w:firstColumn="1" w:lastColumn="0" w:noHBand="0" w:noVBand="1"/>
      </w:tblPr>
      <w:tblGrid>
        <w:gridCol w:w="1036"/>
        <w:gridCol w:w="3070"/>
        <w:gridCol w:w="1935"/>
        <w:gridCol w:w="3021"/>
      </w:tblGrid>
      <w:tr w:rsidR="007D26D4" w:rsidTr="009A62A6">
        <w:tc>
          <w:tcPr>
            <w:tcW w:w="9062" w:type="dxa"/>
            <w:gridSpan w:val="4"/>
            <w:shd w:val="clear" w:color="auto" w:fill="FFC000" w:themeFill="accent4"/>
          </w:tcPr>
          <w:p w:rsidR="007D26D4" w:rsidRDefault="007D26D4" w:rsidP="007D26D4">
            <w:pPr>
              <w:jc w:val="center"/>
            </w:pPr>
            <w:r>
              <w:t>2018</w:t>
            </w:r>
          </w:p>
        </w:tc>
      </w:tr>
      <w:tr w:rsidR="007D26D4" w:rsidTr="007D26D4">
        <w:tc>
          <w:tcPr>
            <w:tcW w:w="4106" w:type="dxa"/>
            <w:gridSpan w:val="2"/>
          </w:tcPr>
          <w:p w:rsidR="007D26D4" w:rsidRDefault="007D26D4" w:rsidP="007D26D4">
            <w:r>
              <w:t>Výdaj/investice</w:t>
            </w:r>
          </w:p>
        </w:tc>
        <w:tc>
          <w:tcPr>
            <w:tcW w:w="1935" w:type="dxa"/>
          </w:tcPr>
          <w:p w:rsidR="007D26D4" w:rsidRDefault="007D26D4" w:rsidP="007D26D4"/>
        </w:tc>
        <w:tc>
          <w:tcPr>
            <w:tcW w:w="3021" w:type="dxa"/>
          </w:tcPr>
          <w:p w:rsidR="007D26D4" w:rsidRDefault="007D26D4" w:rsidP="007D26D4">
            <w:r>
              <w:t>komentář</w:t>
            </w:r>
          </w:p>
        </w:tc>
      </w:tr>
      <w:tr w:rsidR="007D26D4" w:rsidTr="007D26D4">
        <w:tc>
          <w:tcPr>
            <w:tcW w:w="4106" w:type="dxa"/>
            <w:gridSpan w:val="2"/>
          </w:tcPr>
          <w:p w:rsidR="007D26D4" w:rsidRDefault="007D26D4" w:rsidP="007D26D4">
            <w:r>
              <w:t>Splátka úvěru náměstí</w:t>
            </w:r>
          </w:p>
        </w:tc>
        <w:tc>
          <w:tcPr>
            <w:tcW w:w="1935" w:type="dxa"/>
          </w:tcPr>
          <w:p w:rsidR="007D26D4" w:rsidRDefault="007D26D4" w:rsidP="007D26D4">
            <w:r>
              <w:t>2.000.000,-</w:t>
            </w:r>
          </w:p>
        </w:tc>
        <w:tc>
          <w:tcPr>
            <w:tcW w:w="3021" w:type="dxa"/>
          </w:tcPr>
          <w:p w:rsidR="007D26D4" w:rsidRDefault="00A207E8" w:rsidP="007D26D4">
            <w:r>
              <w:t>Práce na náměstí by měly v roce 2018 probíhat, nebo, v ideálním případě, být dokončeny</w:t>
            </w:r>
          </w:p>
        </w:tc>
      </w:tr>
      <w:tr w:rsidR="007D26D4" w:rsidTr="007D26D4">
        <w:tc>
          <w:tcPr>
            <w:tcW w:w="4106" w:type="dxa"/>
            <w:gridSpan w:val="2"/>
          </w:tcPr>
          <w:p w:rsidR="007D26D4" w:rsidRDefault="007D26D4" w:rsidP="007D26D4">
            <w:r>
              <w:t>Rekonstrukce Sokolovny – II. etapa</w:t>
            </w:r>
          </w:p>
        </w:tc>
        <w:tc>
          <w:tcPr>
            <w:tcW w:w="1935" w:type="dxa"/>
          </w:tcPr>
          <w:p w:rsidR="007D26D4" w:rsidRDefault="007D26D4" w:rsidP="007D26D4">
            <w:r>
              <w:t>2.000.000,-</w:t>
            </w:r>
          </w:p>
        </w:tc>
        <w:tc>
          <w:tcPr>
            <w:tcW w:w="3021" w:type="dxa"/>
          </w:tcPr>
          <w:p w:rsidR="007D26D4" w:rsidRDefault="00A207E8" w:rsidP="007D26D4">
            <w:r>
              <w:t xml:space="preserve">Bezpodmínečně je nutné udělat rekonstrukci otopné soustavy a budovu zateplit. </w:t>
            </w:r>
          </w:p>
        </w:tc>
      </w:tr>
      <w:tr w:rsidR="00A56BDC" w:rsidTr="00A56BDC">
        <w:trPr>
          <w:trHeight w:val="270"/>
        </w:trPr>
        <w:tc>
          <w:tcPr>
            <w:tcW w:w="1036" w:type="dxa"/>
          </w:tcPr>
          <w:p w:rsidR="00A56BDC" w:rsidRDefault="00A56BDC" w:rsidP="007D26D4">
            <w:r>
              <w:t>1.</w:t>
            </w:r>
          </w:p>
        </w:tc>
        <w:tc>
          <w:tcPr>
            <w:tcW w:w="3070" w:type="dxa"/>
          </w:tcPr>
          <w:p w:rsidR="00A56BDC" w:rsidRDefault="00A56BDC" w:rsidP="00F27DB9">
            <w:r>
              <w:t>Byty v bývalé MŠ</w:t>
            </w:r>
          </w:p>
        </w:tc>
        <w:tc>
          <w:tcPr>
            <w:tcW w:w="1935" w:type="dxa"/>
          </w:tcPr>
          <w:p w:rsidR="00A56BDC" w:rsidRDefault="00A56BDC" w:rsidP="007D26D4">
            <w:r>
              <w:t>3.000.000,-</w:t>
            </w:r>
          </w:p>
        </w:tc>
        <w:tc>
          <w:tcPr>
            <w:tcW w:w="3021" w:type="dxa"/>
          </w:tcPr>
          <w:p w:rsidR="00A56BDC" w:rsidRDefault="00BD7754" w:rsidP="007D26D4">
            <w:r>
              <w:t>Velmi hrubý odhad spoluúčasti</w:t>
            </w:r>
          </w:p>
        </w:tc>
      </w:tr>
      <w:tr w:rsidR="00A56BDC" w:rsidTr="00A56BDC">
        <w:trPr>
          <w:trHeight w:val="270"/>
        </w:trPr>
        <w:tc>
          <w:tcPr>
            <w:tcW w:w="1036" w:type="dxa"/>
          </w:tcPr>
          <w:p w:rsidR="00A56BDC" w:rsidRDefault="00A56BDC" w:rsidP="007D26D4">
            <w:r>
              <w:t>2.</w:t>
            </w:r>
          </w:p>
        </w:tc>
        <w:tc>
          <w:tcPr>
            <w:tcW w:w="3070" w:type="dxa"/>
          </w:tcPr>
          <w:p w:rsidR="00A56BDC" w:rsidRDefault="00A56BDC" w:rsidP="007D26D4">
            <w:r>
              <w:t>Vestavba základní škola</w:t>
            </w:r>
          </w:p>
        </w:tc>
        <w:tc>
          <w:tcPr>
            <w:tcW w:w="1935" w:type="dxa"/>
          </w:tcPr>
          <w:p w:rsidR="00A56BDC" w:rsidRDefault="00A56BDC" w:rsidP="007D26D4">
            <w:r>
              <w:t>4.500.000,-</w:t>
            </w:r>
          </w:p>
        </w:tc>
        <w:tc>
          <w:tcPr>
            <w:tcW w:w="3021" w:type="dxa"/>
          </w:tcPr>
          <w:p w:rsidR="00A56BDC" w:rsidRDefault="00A56BDC" w:rsidP="007D26D4">
            <w:r>
              <w:t>Spolu s vestavbou je nutné vyřešit opravu střechy a spolufinancovat projekt, realizovaný z dotace.</w:t>
            </w:r>
          </w:p>
        </w:tc>
      </w:tr>
      <w:tr w:rsidR="00A56BDC" w:rsidTr="00A56BDC">
        <w:trPr>
          <w:trHeight w:val="270"/>
        </w:trPr>
        <w:tc>
          <w:tcPr>
            <w:tcW w:w="1036" w:type="dxa"/>
          </w:tcPr>
          <w:p w:rsidR="00A56BDC" w:rsidRDefault="00A56BDC" w:rsidP="007D26D4">
            <w:r>
              <w:t>3.</w:t>
            </w:r>
          </w:p>
        </w:tc>
        <w:tc>
          <w:tcPr>
            <w:tcW w:w="3070" w:type="dxa"/>
          </w:tcPr>
          <w:p w:rsidR="00A56BDC" w:rsidRDefault="00BD7754" w:rsidP="007D26D4">
            <w:r>
              <w:t xml:space="preserve">Rekonstrukce </w:t>
            </w:r>
            <w:proofErr w:type="spellStart"/>
            <w:r>
              <w:t>Svatavské</w:t>
            </w:r>
            <w:proofErr w:type="spellEnd"/>
            <w:r>
              <w:t xml:space="preserve"> ulice</w:t>
            </w:r>
          </w:p>
        </w:tc>
        <w:tc>
          <w:tcPr>
            <w:tcW w:w="1935" w:type="dxa"/>
          </w:tcPr>
          <w:p w:rsidR="00A56BDC" w:rsidRDefault="00BD7754" w:rsidP="007D26D4">
            <w:r>
              <w:t>2.000.000,-</w:t>
            </w:r>
          </w:p>
        </w:tc>
        <w:tc>
          <w:tcPr>
            <w:tcW w:w="3021" w:type="dxa"/>
          </w:tcPr>
          <w:p w:rsidR="00A56BDC" w:rsidRDefault="00A56BDC" w:rsidP="007D26D4"/>
        </w:tc>
      </w:tr>
      <w:tr w:rsidR="00A207E8" w:rsidTr="00A207E8">
        <w:tc>
          <w:tcPr>
            <w:tcW w:w="4106" w:type="dxa"/>
            <w:gridSpan w:val="2"/>
            <w:shd w:val="clear" w:color="auto" w:fill="DEEAF6" w:themeFill="accent1" w:themeFillTint="33"/>
          </w:tcPr>
          <w:p w:rsidR="00A207E8" w:rsidRDefault="00A207E8" w:rsidP="007D26D4">
            <w:r>
              <w:lastRenderedPageBreak/>
              <w:t>Vodovod/kanalizace Mariánské náměstí</w:t>
            </w:r>
          </w:p>
        </w:tc>
        <w:tc>
          <w:tcPr>
            <w:tcW w:w="1935" w:type="dxa"/>
            <w:shd w:val="clear" w:color="auto" w:fill="DEEAF6" w:themeFill="accent1" w:themeFillTint="33"/>
          </w:tcPr>
          <w:p w:rsidR="00A207E8" w:rsidRDefault="00A207E8" w:rsidP="007D26D4">
            <w:r>
              <w:t>3.000.000,-</w:t>
            </w:r>
          </w:p>
        </w:tc>
        <w:tc>
          <w:tcPr>
            <w:tcW w:w="3021" w:type="dxa"/>
            <w:shd w:val="clear" w:color="auto" w:fill="DEEAF6" w:themeFill="accent1" w:themeFillTint="33"/>
          </w:tcPr>
          <w:p w:rsidR="00A207E8" w:rsidRDefault="00A207E8" w:rsidP="007D26D4">
            <w:r>
              <w:t>Realizováno z prostředků vodního hospodářství</w:t>
            </w:r>
          </w:p>
        </w:tc>
      </w:tr>
      <w:tr w:rsidR="007D26D4" w:rsidTr="009A62A6">
        <w:tc>
          <w:tcPr>
            <w:tcW w:w="9062" w:type="dxa"/>
            <w:gridSpan w:val="4"/>
            <w:shd w:val="clear" w:color="auto" w:fill="FFC000" w:themeFill="accent4"/>
          </w:tcPr>
          <w:p w:rsidR="007D26D4" w:rsidRDefault="007D26D4" w:rsidP="007D26D4">
            <w:pPr>
              <w:jc w:val="center"/>
            </w:pPr>
            <w:r>
              <w:t>2019</w:t>
            </w:r>
          </w:p>
        </w:tc>
      </w:tr>
      <w:tr w:rsidR="007D26D4" w:rsidTr="00A207E8">
        <w:tc>
          <w:tcPr>
            <w:tcW w:w="4106" w:type="dxa"/>
            <w:gridSpan w:val="2"/>
            <w:shd w:val="clear" w:color="auto" w:fill="FBE4D5" w:themeFill="accent2" w:themeFillTint="33"/>
          </w:tcPr>
          <w:p w:rsidR="007D26D4" w:rsidRDefault="00A207E8" w:rsidP="007D26D4">
            <w:r>
              <w:t>Splátka úvěru náměstí</w:t>
            </w:r>
          </w:p>
        </w:tc>
        <w:tc>
          <w:tcPr>
            <w:tcW w:w="1935" w:type="dxa"/>
            <w:shd w:val="clear" w:color="auto" w:fill="FBE4D5" w:themeFill="accent2" w:themeFillTint="33"/>
          </w:tcPr>
          <w:p w:rsidR="007D26D4" w:rsidRDefault="00A207E8" w:rsidP="007D26D4">
            <w:r>
              <w:t>2.000.000,-</w:t>
            </w:r>
          </w:p>
        </w:tc>
        <w:tc>
          <w:tcPr>
            <w:tcW w:w="3021" w:type="dxa"/>
            <w:shd w:val="clear" w:color="auto" w:fill="FBE4D5" w:themeFill="accent2" w:themeFillTint="33"/>
          </w:tcPr>
          <w:p w:rsidR="007D26D4" w:rsidRDefault="00A207E8" w:rsidP="007D26D4">
            <w:r>
              <w:t>Až do roku 2032 mandatorní výdaj.</w:t>
            </w:r>
          </w:p>
        </w:tc>
      </w:tr>
      <w:tr w:rsidR="00A207E8" w:rsidTr="007D26D4">
        <w:tc>
          <w:tcPr>
            <w:tcW w:w="4106" w:type="dxa"/>
            <w:gridSpan w:val="2"/>
          </w:tcPr>
          <w:p w:rsidR="00A207E8" w:rsidRDefault="00A207E8" w:rsidP="007D26D4">
            <w:r>
              <w:t>Rekonstrukce Sokolovny – III. etapa</w:t>
            </w:r>
          </w:p>
        </w:tc>
        <w:tc>
          <w:tcPr>
            <w:tcW w:w="1935" w:type="dxa"/>
          </w:tcPr>
          <w:p w:rsidR="00A207E8" w:rsidRDefault="00A207E8" w:rsidP="007D26D4">
            <w:r>
              <w:t>1.000.000,-</w:t>
            </w:r>
          </w:p>
        </w:tc>
        <w:tc>
          <w:tcPr>
            <w:tcW w:w="3021" w:type="dxa"/>
          </w:tcPr>
          <w:p w:rsidR="00A207E8" w:rsidRDefault="00A207E8" w:rsidP="007D26D4">
            <w:r>
              <w:t>Úpravy interiérů, akustika, rozvody el. A data.</w:t>
            </w:r>
          </w:p>
        </w:tc>
      </w:tr>
      <w:tr w:rsidR="00A207E8" w:rsidTr="007D26D4">
        <w:tc>
          <w:tcPr>
            <w:tcW w:w="4106" w:type="dxa"/>
            <w:gridSpan w:val="2"/>
          </w:tcPr>
          <w:p w:rsidR="00A207E8" w:rsidRDefault="00A207E8" w:rsidP="007D26D4">
            <w:r>
              <w:t>Rekonstrukce Nádražní ulice</w:t>
            </w:r>
          </w:p>
        </w:tc>
        <w:tc>
          <w:tcPr>
            <w:tcW w:w="1935" w:type="dxa"/>
          </w:tcPr>
          <w:p w:rsidR="00A207E8" w:rsidRDefault="00A207E8" w:rsidP="007D26D4">
            <w:r>
              <w:t>2.000.000,-</w:t>
            </w:r>
          </w:p>
        </w:tc>
        <w:tc>
          <w:tcPr>
            <w:tcW w:w="3021" w:type="dxa"/>
          </w:tcPr>
          <w:p w:rsidR="00A207E8" w:rsidRDefault="00A207E8" w:rsidP="007D26D4">
            <w:r>
              <w:t>Pokud nebude realizováno dříve díky dotaci</w:t>
            </w:r>
          </w:p>
        </w:tc>
      </w:tr>
      <w:tr w:rsidR="00A207E8" w:rsidTr="00A207E8">
        <w:tc>
          <w:tcPr>
            <w:tcW w:w="4106" w:type="dxa"/>
            <w:gridSpan w:val="2"/>
            <w:shd w:val="clear" w:color="auto" w:fill="DEEAF6" w:themeFill="accent1" w:themeFillTint="33"/>
          </w:tcPr>
          <w:p w:rsidR="00A207E8" w:rsidRDefault="00A207E8" w:rsidP="007D26D4">
            <w:r>
              <w:t>Rekonstrukce vodovodu a kanalizace v Nádražní ulici</w:t>
            </w:r>
          </w:p>
        </w:tc>
        <w:tc>
          <w:tcPr>
            <w:tcW w:w="1935" w:type="dxa"/>
            <w:shd w:val="clear" w:color="auto" w:fill="DEEAF6" w:themeFill="accent1" w:themeFillTint="33"/>
          </w:tcPr>
          <w:p w:rsidR="00A207E8" w:rsidRDefault="00A207E8" w:rsidP="007D26D4">
            <w:r>
              <w:t>2.000.000,-</w:t>
            </w:r>
          </w:p>
        </w:tc>
        <w:tc>
          <w:tcPr>
            <w:tcW w:w="3021" w:type="dxa"/>
            <w:shd w:val="clear" w:color="auto" w:fill="DEEAF6" w:themeFill="accent1" w:themeFillTint="33"/>
          </w:tcPr>
          <w:p w:rsidR="00A207E8" w:rsidRDefault="00A207E8" w:rsidP="007D26D4">
            <w:r>
              <w:t>Realizováno z prostředků vodního hospodářství</w:t>
            </w:r>
          </w:p>
        </w:tc>
      </w:tr>
      <w:tr w:rsidR="00A207E8" w:rsidTr="00A207E8">
        <w:tc>
          <w:tcPr>
            <w:tcW w:w="4106" w:type="dxa"/>
            <w:gridSpan w:val="2"/>
            <w:shd w:val="clear" w:color="auto" w:fill="DEEAF6" w:themeFill="accent1" w:themeFillTint="33"/>
          </w:tcPr>
          <w:p w:rsidR="00A207E8" w:rsidRDefault="00A207E8" w:rsidP="007D26D4">
            <w:r>
              <w:t>Realizace projektu na posílení vodních zdrojů v</w:t>
            </w:r>
            <w:r w:rsidR="00F27DB9">
              <w:t> </w:t>
            </w:r>
            <w:r>
              <w:t>Černovicích</w:t>
            </w:r>
            <w:r w:rsidR="00F27DB9">
              <w:t xml:space="preserve">, případně kanalizace </w:t>
            </w:r>
            <w:proofErr w:type="spellStart"/>
            <w:r w:rsidR="00F27DB9">
              <w:t>Dobešov</w:t>
            </w:r>
            <w:proofErr w:type="spellEnd"/>
          </w:p>
        </w:tc>
        <w:tc>
          <w:tcPr>
            <w:tcW w:w="1935" w:type="dxa"/>
            <w:shd w:val="clear" w:color="auto" w:fill="DEEAF6" w:themeFill="accent1" w:themeFillTint="33"/>
          </w:tcPr>
          <w:p w:rsidR="00A207E8" w:rsidRDefault="00A207E8" w:rsidP="007D26D4">
            <w:r>
              <w:t>2.000.000,-</w:t>
            </w:r>
          </w:p>
        </w:tc>
        <w:tc>
          <w:tcPr>
            <w:tcW w:w="3021" w:type="dxa"/>
            <w:shd w:val="clear" w:color="auto" w:fill="DEEAF6" w:themeFill="accent1" w:themeFillTint="33"/>
          </w:tcPr>
          <w:p w:rsidR="00A207E8" w:rsidRDefault="00A207E8" w:rsidP="00F27DB9">
            <w:r>
              <w:t>Pokud bude získána do</w:t>
            </w:r>
            <w:r w:rsidR="00F27DB9">
              <w:t xml:space="preserve">tace, mělo by město realizovat alespoň jeden </w:t>
            </w:r>
            <w:r>
              <w:t xml:space="preserve">projekt. Očekávaný podíl města je </w:t>
            </w:r>
            <w:r w:rsidR="00F27DB9">
              <w:t xml:space="preserve">cca </w:t>
            </w:r>
            <w:r>
              <w:t xml:space="preserve">15%, náklady </w:t>
            </w:r>
            <w:r w:rsidR="00F27DB9">
              <w:t xml:space="preserve">každého </w:t>
            </w:r>
            <w:r>
              <w:t xml:space="preserve">projektu asi </w:t>
            </w:r>
            <w:r w:rsidR="00F27DB9">
              <w:t>15 milionů Kč. Pokud by byla získána dotace na oba dva, je možné uvažovat o využití rezerv mimo prostředky vodního hospodářství.</w:t>
            </w:r>
          </w:p>
        </w:tc>
      </w:tr>
      <w:tr w:rsidR="00085083" w:rsidTr="009A62A6">
        <w:tc>
          <w:tcPr>
            <w:tcW w:w="9062" w:type="dxa"/>
            <w:gridSpan w:val="4"/>
            <w:shd w:val="clear" w:color="auto" w:fill="FFC000" w:themeFill="accent4"/>
          </w:tcPr>
          <w:p w:rsidR="00085083" w:rsidRDefault="00085083" w:rsidP="00085083">
            <w:pPr>
              <w:jc w:val="center"/>
            </w:pPr>
            <w:r>
              <w:t>2020</w:t>
            </w:r>
          </w:p>
        </w:tc>
      </w:tr>
      <w:tr w:rsidR="00100EE0" w:rsidTr="00100EE0">
        <w:tc>
          <w:tcPr>
            <w:tcW w:w="4106" w:type="dxa"/>
            <w:gridSpan w:val="2"/>
            <w:shd w:val="clear" w:color="auto" w:fill="FBE4D5" w:themeFill="accent2" w:themeFillTint="33"/>
          </w:tcPr>
          <w:p w:rsidR="00100EE0" w:rsidRDefault="00100EE0" w:rsidP="00100EE0">
            <w:r>
              <w:t>Splátka úvěru náměstí</w:t>
            </w:r>
          </w:p>
        </w:tc>
        <w:tc>
          <w:tcPr>
            <w:tcW w:w="1935" w:type="dxa"/>
            <w:shd w:val="clear" w:color="auto" w:fill="FBE4D5" w:themeFill="accent2" w:themeFillTint="33"/>
          </w:tcPr>
          <w:p w:rsidR="00100EE0" w:rsidRDefault="00100EE0" w:rsidP="00100EE0">
            <w:r>
              <w:t>2.000.000,-</w:t>
            </w:r>
          </w:p>
        </w:tc>
        <w:tc>
          <w:tcPr>
            <w:tcW w:w="3021" w:type="dxa"/>
            <w:shd w:val="clear" w:color="auto" w:fill="FBE4D5" w:themeFill="accent2" w:themeFillTint="33"/>
          </w:tcPr>
          <w:p w:rsidR="00100EE0" w:rsidRDefault="00100EE0" w:rsidP="00100EE0">
            <w:r>
              <w:t>Až do roku 2032 mandatorní výdaj.</w:t>
            </w:r>
          </w:p>
        </w:tc>
      </w:tr>
      <w:tr w:rsidR="00085083" w:rsidTr="00F27DB9">
        <w:tc>
          <w:tcPr>
            <w:tcW w:w="4106" w:type="dxa"/>
            <w:gridSpan w:val="2"/>
            <w:shd w:val="clear" w:color="auto" w:fill="FFFFFF" w:themeFill="background1"/>
          </w:tcPr>
          <w:p w:rsidR="00085083" w:rsidRDefault="00100EE0" w:rsidP="00F27DB9">
            <w:r>
              <w:t xml:space="preserve">Rekonstrukce </w:t>
            </w:r>
            <w:proofErr w:type="spellStart"/>
            <w:r>
              <w:t>Svatavské</w:t>
            </w:r>
            <w:proofErr w:type="spellEnd"/>
            <w:r>
              <w:t xml:space="preserve"> ulice</w:t>
            </w:r>
          </w:p>
        </w:tc>
        <w:tc>
          <w:tcPr>
            <w:tcW w:w="1935" w:type="dxa"/>
            <w:shd w:val="clear" w:color="auto" w:fill="FFFFFF" w:themeFill="background1"/>
          </w:tcPr>
          <w:p w:rsidR="00085083" w:rsidRDefault="00100EE0" w:rsidP="00100EE0">
            <w:r>
              <w:t>2.000.000,-</w:t>
            </w:r>
          </w:p>
        </w:tc>
        <w:tc>
          <w:tcPr>
            <w:tcW w:w="3021" w:type="dxa"/>
            <w:shd w:val="clear" w:color="auto" w:fill="FFFFFF" w:themeFill="background1"/>
          </w:tcPr>
          <w:p w:rsidR="00085083" w:rsidRDefault="00085083" w:rsidP="007D26D4"/>
        </w:tc>
      </w:tr>
      <w:tr w:rsidR="00594CAE" w:rsidTr="00F27DB9">
        <w:tc>
          <w:tcPr>
            <w:tcW w:w="4106" w:type="dxa"/>
            <w:gridSpan w:val="2"/>
            <w:shd w:val="clear" w:color="auto" w:fill="FFFFFF" w:themeFill="background1"/>
          </w:tcPr>
          <w:p w:rsidR="00594CAE" w:rsidRDefault="00594CAE" w:rsidP="00594CAE">
            <w:r>
              <w:t xml:space="preserve">Pozemky pro RD – </w:t>
            </w:r>
            <w:r w:rsidR="00A56BDC">
              <w:t>II</w:t>
            </w:r>
            <w:r>
              <w:t>I. etapa</w:t>
            </w:r>
          </w:p>
        </w:tc>
        <w:tc>
          <w:tcPr>
            <w:tcW w:w="1935" w:type="dxa"/>
            <w:shd w:val="clear" w:color="auto" w:fill="FFFFFF" w:themeFill="background1"/>
          </w:tcPr>
          <w:p w:rsidR="00594CAE" w:rsidRDefault="00A56BDC" w:rsidP="00594CAE">
            <w:r>
              <w:t>1</w:t>
            </w:r>
            <w:r w:rsidR="00594CAE">
              <w:t>.500.000,-</w:t>
            </w:r>
          </w:p>
        </w:tc>
        <w:tc>
          <w:tcPr>
            <w:tcW w:w="3021" w:type="dxa"/>
            <w:shd w:val="clear" w:color="auto" w:fill="FFFFFF" w:themeFill="background1"/>
          </w:tcPr>
          <w:p w:rsidR="00594CAE" w:rsidRDefault="00594CAE" w:rsidP="00594CAE"/>
        </w:tc>
      </w:tr>
      <w:tr w:rsidR="00594CAE" w:rsidTr="00594CAE">
        <w:tc>
          <w:tcPr>
            <w:tcW w:w="4106" w:type="dxa"/>
            <w:gridSpan w:val="2"/>
            <w:shd w:val="clear" w:color="auto" w:fill="DEEAF6" w:themeFill="accent1" w:themeFillTint="33"/>
          </w:tcPr>
          <w:p w:rsidR="00594CAE" w:rsidRDefault="00594CAE" w:rsidP="00594CAE">
            <w:r>
              <w:t>Vodovod a kanalizace pro další pozemky pro RD</w:t>
            </w:r>
          </w:p>
        </w:tc>
        <w:tc>
          <w:tcPr>
            <w:tcW w:w="1935" w:type="dxa"/>
            <w:shd w:val="clear" w:color="auto" w:fill="DEEAF6" w:themeFill="accent1" w:themeFillTint="33"/>
          </w:tcPr>
          <w:p w:rsidR="00594CAE" w:rsidRDefault="00594CAE" w:rsidP="00594CAE">
            <w:r>
              <w:t>3.000.000,-</w:t>
            </w:r>
          </w:p>
        </w:tc>
        <w:tc>
          <w:tcPr>
            <w:tcW w:w="3021" w:type="dxa"/>
            <w:shd w:val="clear" w:color="auto" w:fill="DEEAF6" w:themeFill="accent1" w:themeFillTint="33"/>
          </w:tcPr>
          <w:p w:rsidR="00594CAE" w:rsidRDefault="00594CAE" w:rsidP="00594CAE">
            <w:r>
              <w:t xml:space="preserve">Náklady budou zpočátku velké, je nutné vybudovat napojení na současnou síť, v dalších letech už menší. </w:t>
            </w:r>
          </w:p>
        </w:tc>
      </w:tr>
    </w:tbl>
    <w:p w:rsidR="007D26D4" w:rsidRDefault="007D26D4" w:rsidP="00F83C08"/>
    <w:p w:rsidR="00F83C08" w:rsidRDefault="00F83C08" w:rsidP="00F83C08"/>
    <w:p w:rsidR="00F83C08" w:rsidRPr="00F83C08" w:rsidRDefault="00F83C08" w:rsidP="00F83C08"/>
    <w:p w:rsidR="00804A97" w:rsidRDefault="00804A97" w:rsidP="00B63EAD"/>
    <w:p w:rsidR="00804A97" w:rsidRDefault="00804A97" w:rsidP="00B63EAD"/>
    <w:p w:rsidR="009A1692" w:rsidRPr="00B63EAD" w:rsidRDefault="009A1692" w:rsidP="00B63EAD"/>
    <w:p w:rsidR="00B63EAD" w:rsidRDefault="00B63EAD"/>
    <w:sectPr w:rsidR="00B63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D59C9"/>
    <w:multiLevelType w:val="hybridMultilevel"/>
    <w:tmpl w:val="9E1414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AD"/>
    <w:rsid w:val="00007653"/>
    <w:rsid w:val="00014B40"/>
    <w:rsid w:val="00045DA5"/>
    <w:rsid w:val="00085083"/>
    <w:rsid w:val="000C64E6"/>
    <w:rsid w:val="000D100D"/>
    <w:rsid w:val="000E3C48"/>
    <w:rsid w:val="00100EE0"/>
    <w:rsid w:val="001E4FFE"/>
    <w:rsid w:val="002667DA"/>
    <w:rsid w:val="002D686C"/>
    <w:rsid w:val="002D6F12"/>
    <w:rsid w:val="003626BD"/>
    <w:rsid w:val="003F0D40"/>
    <w:rsid w:val="00445A13"/>
    <w:rsid w:val="00494CAC"/>
    <w:rsid w:val="004B565A"/>
    <w:rsid w:val="00594CAE"/>
    <w:rsid w:val="00596036"/>
    <w:rsid w:val="005C0C30"/>
    <w:rsid w:val="005D1993"/>
    <w:rsid w:val="005F4152"/>
    <w:rsid w:val="00693DA2"/>
    <w:rsid w:val="006C3F3C"/>
    <w:rsid w:val="006D5B5F"/>
    <w:rsid w:val="006D655E"/>
    <w:rsid w:val="006F1E9A"/>
    <w:rsid w:val="00713534"/>
    <w:rsid w:val="007C4C40"/>
    <w:rsid w:val="007D26D4"/>
    <w:rsid w:val="00804A97"/>
    <w:rsid w:val="009A1692"/>
    <w:rsid w:val="009A62A6"/>
    <w:rsid w:val="00A207E8"/>
    <w:rsid w:val="00A53410"/>
    <w:rsid w:val="00A56BDC"/>
    <w:rsid w:val="00AE262F"/>
    <w:rsid w:val="00AF0DB2"/>
    <w:rsid w:val="00B63EAD"/>
    <w:rsid w:val="00B7376B"/>
    <w:rsid w:val="00B85304"/>
    <w:rsid w:val="00BD7754"/>
    <w:rsid w:val="00C77C4C"/>
    <w:rsid w:val="00CE3EF6"/>
    <w:rsid w:val="00D26891"/>
    <w:rsid w:val="00DD4EAB"/>
    <w:rsid w:val="00DF030E"/>
    <w:rsid w:val="00E31C4B"/>
    <w:rsid w:val="00F27DB9"/>
    <w:rsid w:val="00F83C08"/>
    <w:rsid w:val="00FB4214"/>
    <w:rsid w:val="00FD229E"/>
    <w:rsid w:val="00FD2630"/>
    <w:rsid w:val="00FE2B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7E6B6-66E4-4E15-9412-46114162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63E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63E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EA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63EAD"/>
    <w:rPr>
      <w:rFonts w:asciiTheme="majorHAnsi" w:eastAsiaTheme="majorEastAsia" w:hAnsiTheme="majorHAnsi" w:cstheme="majorBidi"/>
      <w:color w:val="2E74B5" w:themeColor="accent1" w:themeShade="BF"/>
      <w:sz w:val="26"/>
      <w:szCs w:val="26"/>
    </w:rPr>
  </w:style>
  <w:style w:type="table" w:styleId="Mkatabulky">
    <w:name w:val="Table Grid"/>
    <w:basedOn w:val="Normlntabulka"/>
    <w:uiPriority w:val="39"/>
    <w:rsid w:val="00A5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E2BDE"/>
    <w:pPr>
      <w:ind w:left="720"/>
      <w:contextualSpacing/>
    </w:pPr>
  </w:style>
  <w:style w:type="paragraph" w:styleId="Titulek">
    <w:name w:val="caption"/>
    <w:basedOn w:val="Normln"/>
    <w:next w:val="Normln"/>
    <w:uiPriority w:val="35"/>
    <w:unhideWhenUsed/>
    <w:qFormat/>
    <w:rsid w:val="002667DA"/>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AE26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E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9297">
      <w:bodyDiv w:val="1"/>
      <w:marLeft w:val="0"/>
      <w:marRight w:val="0"/>
      <w:marTop w:val="0"/>
      <w:marBottom w:val="0"/>
      <w:divBdr>
        <w:top w:val="none" w:sz="0" w:space="0" w:color="auto"/>
        <w:left w:val="none" w:sz="0" w:space="0" w:color="auto"/>
        <w:bottom w:val="none" w:sz="0" w:space="0" w:color="auto"/>
        <w:right w:val="none" w:sz="0" w:space="0" w:color="auto"/>
      </w:divBdr>
    </w:div>
    <w:div w:id="226887273">
      <w:bodyDiv w:val="1"/>
      <w:marLeft w:val="0"/>
      <w:marRight w:val="0"/>
      <w:marTop w:val="0"/>
      <w:marBottom w:val="0"/>
      <w:divBdr>
        <w:top w:val="none" w:sz="0" w:space="0" w:color="auto"/>
        <w:left w:val="none" w:sz="0" w:space="0" w:color="auto"/>
        <w:bottom w:val="none" w:sz="0" w:space="0" w:color="auto"/>
        <w:right w:val="none" w:sz="0" w:space="0" w:color="auto"/>
      </w:divBdr>
    </w:div>
    <w:div w:id="407962857">
      <w:bodyDiv w:val="1"/>
      <w:marLeft w:val="0"/>
      <w:marRight w:val="0"/>
      <w:marTop w:val="0"/>
      <w:marBottom w:val="0"/>
      <w:divBdr>
        <w:top w:val="none" w:sz="0" w:space="0" w:color="auto"/>
        <w:left w:val="none" w:sz="0" w:space="0" w:color="auto"/>
        <w:bottom w:val="none" w:sz="0" w:space="0" w:color="auto"/>
        <w:right w:val="none" w:sz="0" w:space="0" w:color="auto"/>
      </w:divBdr>
    </w:div>
    <w:div w:id="13221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rozek\Documents\__podklady%20pro%20zastupitelstvo\podklady_pro_rozp_v&#253;hl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brozek\Downloads\cz0633%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brozek\Downloads\cz0633%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Počet obyvatel 2000-2015</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tx>
            <c:v>0-14 let</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numRef>
              <c:f>List2!$A$2:$A$17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List2!$B$2:$B$17</c:f>
              <c:numCache>
                <c:formatCode>General</c:formatCode>
                <c:ptCount val="16"/>
                <c:pt idx="0">
                  <c:v>308</c:v>
                </c:pt>
                <c:pt idx="1">
                  <c:v>293</c:v>
                </c:pt>
                <c:pt idx="2">
                  <c:v>299</c:v>
                </c:pt>
                <c:pt idx="3">
                  <c:v>293</c:v>
                </c:pt>
                <c:pt idx="4">
                  <c:v>293</c:v>
                </c:pt>
                <c:pt idx="5">
                  <c:v>279</c:v>
                </c:pt>
                <c:pt idx="6">
                  <c:v>279</c:v>
                </c:pt>
                <c:pt idx="7">
                  <c:v>274</c:v>
                </c:pt>
                <c:pt idx="8">
                  <c:v>256</c:v>
                </c:pt>
                <c:pt idx="9">
                  <c:v>244</c:v>
                </c:pt>
                <c:pt idx="10">
                  <c:v>239</c:v>
                </c:pt>
                <c:pt idx="11">
                  <c:v>235</c:v>
                </c:pt>
                <c:pt idx="12">
                  <c:v>244</c:v>
                </c:pt>
                <c:pt idx="13">
                  <c:v>229</c:v>
                </c:pt>
                <c:pt idx="14">
                  <c:v>219</c:v>
                </c:pt>
                <c:pt idx="15">
                  <c:v>227</c:v>
                </c:pt>
              </c:numCache>
            </c:numRef>
          </c:val>
        </c:ser>
        <c:ser>
          <c:idx val="1"/>
          <c:order val="1"/>
          <c:tx>
            <c:v>15-64 let</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numRef>
              <c:f>List2!$A$2:$A$17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List2!$C$2:$C$17</c:f>
              <c:numCache>
                <c:formatCode>General</c:formatCode>
                <c:ptCount val="16"/>
                <c:pt idx="0">
                  <c:v>1287</c:v>
                </c:pt>
                <c:pt idx="1">
                  <c:v>1274</c:v>
                </c:pt>
                <c:pt idx="2">
                  <c:v>1272</c:v>
                </c:pt>
                <c:pt idx="3">
                  <c:v>1270</c:v>
                </c:pt>
                <c:pt idx="4">
                  <c:v>1281</c:v>
                </c:pt>
                <c:pt idx="5">
                  <c:v>1284</c:v>
                </c:pt>
                <c:pt idx="6">
                  <c:v>1277</c:v>
                </c:pt>
                <c:pt idx="7">
                  <c:v>1274</c:v>
                </c:pt>
                <c:pt idx="8">
                  <c:v>1264</c:v>
                </c:pt>
                <c:pt idx="9">
                  <c:v>1258</c:v>
                </c:pt>
                <c:pt idx="10">
                  <c:v>1256</c:v>
                </c:pt>
                <c:pt idx="11">
                  <c:v>1208</c:v>
                </c:pt>
                <c:pt idx="12">
                  <c:v>1197</c:v>
                </c:pt>
                <c:pt idx="13">
                  <c:v>1177</c:v>
                </c:pt>
                <c:pt idx="14">
                  <c:v>1160</c:v>
                </c:pt>
                <c:pt idx="15">
                  <c:v>1149</c:v>
                </c:pt>
              </c:numCache>
            </c:numRef>
          </c:val>
        </c:ser>
        <c:ser>
          <c:idx val="2"/>
          <c:order val="2"/>
          <c:tx>
            <c:v>65+</c:v>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cat>
            <c:numRef>
              <c:f>List2!$A$2:$A$17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List2!$D$2:$D$17</c:f>
              <c:numCache>
                <c:formatCode>General</c:formatCode>
                <c:ptCount val="16"/>
                <c:pt idx="0">
                  <c:v>304</c:v>
                </c:pt>
                <c:pt idx="1">
                  <c:v>311</c:v>
                </c:pt>
                <c:pt idx="2">
                  <c:v>307</c:v>
                </c:pt>
                <c:pt idx="3">
                  <c:v>300</c:v>
                </c:pt>
                <c:pt idx="4">
                  <c:v>296</c:v>
                </c:pt>
                <c:pt idx="5">
                  <c:v>292</c:v>
                </c:pt>
                <c:pt idx="6">
                  <c:v>296</c:v>
                </c:pt>
                <c:pt idx="7">
                  <c:v>304</c:v>
                </c:pt>
                <c:pt idx="8">
                  <c:v>314</c:v>
                </c:pt>
                <c:pt idx="9">
                  <c:v>328</c:v>
                </c:pt>
                <c:pt idx="10">
                  <c:v>338</c:v>
                </c:pt>
                <c:pt idx="11">
                  <c:v>340</c:v>
                </c:pt>
                <c:pt idx="12">
                  <c:v>350</c:v>
                </c:pt>
                <c:pt idx="13">
                  <c:v>355</c:v>
                </c:pt>
                <c:pt idx="14">
                  <c:v>364</c:v>
                </c:pt>
                <c:pt idx="15">
                  <c:v>359</c:v>
                </c:pt>
              </c:numCache>
            </c:numRef>
          </c:val>
        </c:ser>
        <c:dLbls>
          <c:showLegendKey val="0"/>
          <c:showVal val="0"/>
          <c:showCatName val="0"/>
          <c:showSerName val="0"/>
          <c:showPercent val="0"/>
          <c:showBubbleSize val="0"/>
        </c:dLbls>
        <c:gapWidth val="150"/>
        <c:axId val="570701192"/>
        <c:axId val="570700016"/>
      </c:barChart>
      <c:lineChart>
        <c:grouping val="standard"/>
        <c:varyColors val="0"/>
        <c:ser>
          <c:idx val="3"/>
          <c:order val="3"/>
          <c:tx>
            <c:v>celkem</c:v>
          </c:tx>
          <c:spPr>
            <a:ln w="15875" cap="rnd">
              <a:solidFill>
                <a:schemeClr val="accent4"/>
              </a:solidFill>
              <a:round/>
            </a:ln>
            <a:effectLst>
              <a:outerShdw blurRad="40000" dist="20000" dir="5400000" rotWithShape="0">
                <a:srgbClr val="000000">
                  <a:alpha val="38000"/>
                </a:srgbClr>
              </a:outerShdw>
            </a:effectLst>
          </c:spPr>
          <c:marker>
            <c:symbol val="none"/>
          </c:marker>
          <c:dLbls>
            <c:dLbl>
              <c:idx val="0"/>
              <c:layout>
                <c:manualLayout>
                  <c:x val="-2.336028751123094E-2"/>
                  <c:y val="2.721088435374147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6954177897574257E-2"/>
                  <c:y val="2.9478458049886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List2!$E$2:$E$17</c:f>
              <c:numCache>
                <c:formatCode>General</c:formatCode>
                <c:ptCount val="16"/>
                <c:pt idx="0">
                  <c:v>1899</c:v>
                </c:pt>
                <c:pt idx="1">
                  <c:v>1878</c:v>
                </c:pt>
                <c:pt idx="2">
                  <c:v>1878</c:v>
                </c:pt>
                <c:pt idx="3">
                  <c:v>1863</c:v>
                </c:pt>
                <c:pt idx="4">
                  <c:v>1870</c:v>
                </c:pt>
                <c:pt idx="5">
                  <c:v>1855</c:v>
                </c:pt>
                <c:pt idx="6">
                  <c:v>1852</c:v>
                </c:pt>
                <c:pt idx="7">
                  <c:v>1852</c:v>
                </c:pt>
                <c:pt idx="8">
                  <c:v>1834</c:v>
                </c:pt>
                <c:pt idx="9">
                  <c:v>1830</c:v>
                </c:pt>
                <c:pt idx="10">
                  <c:v>1833</c:v>
                </c:pt>
                <c:pt idx="11">
                  <c:v>1783</c:v>
                </c:pt>
                <c:pt idx="12">
                  <c:v>1791</c:v>
                </c:pt>
                <c:pt idx="13">
                  <c:v>1761</c:v>
                </c:pt>
                <c:pt idx="14">
                  <c:v>1743</c:v>
                </c:pt>
                <c:pt idx="15">
                  <c:v>1735</c:v>
                </c:pt>
              </c:numCache>
            </c:numRef>
          </c:val>
          <c:smooth val="0"/>
        </c:ser>
        <c:dLbls>
          <c:showLegendKey val="0"/>
          <c:showVal val="0"/>
          <c:showCatName val="0"/>
          <c:showSerName val="0"/>
          <c:showPercent val="0"/>
          <c:showBubbleSize val="0"/>
        </c:dLbls>
        <c:marker val="1"/>
        <c:smooth val="0"/>
        <c:axId val="570701192"/>
        <c:axId val="570700016"/>
      </c:lineChart>
      <c:catAx>
        <c:axId val="57070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70700016"/>
        <c:crosses val="autoZero"/>
        <c:auto val="1"/>
        <c:lblAlgn val="ctr"/>
        <c:lblOffset val="100"/>
        <c:noMultiLvlLbl val="0"/>
      </c:catAx>
      <c:valAx>
        <c:axId val="570700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7070119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cs-CZ"/>
              <a:t>Narození a zemřelí občané města Černovice v letech 2000-2015</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cs-CZ"/>
        </a:p>
      </c:txPr>
    </c:title>
    <c:autoTitleDeleted val="0"/>
    <c:plotArea>
      <c:layout/>
      <c:lineChart>
        <c:grouping val="standard"/>
        <c:varyColors val="0"/>
        <c:ser>
          <c:idx val="0"/>
          <c:order val="0"/>
          <c:tx>
            <c:v>narození</c:v>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'[cz0633 (1).xlsx]List1'!$A$31:$A$46</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'[cz0633 (1).xlsx]List1'!$F$31:$F$46</c:f>
              <c:numCache>
                <c:formatCode>#,##0</c:formatCode>
                <c:ptCount val="16"/>
                <c:pt idx="0">
                  <c:v>12</c:v>
                </c:pt>
                <c:pt idx="1">
                  <c:v>12</c:v>
                </c:pt>
                <c:pt idx="2">
                  <c:v>17</c:v>
                </c:pt>
                <c:pt idx="3">
                  <c:v>14</c:v>
                </c:pt>
                <c:pt idx="4">
                  <c:v>18</c:v>
                </c:pt>
                <c:pt idx="5">
                  <c:v>12</c:v>
                </c:pt>
                <c:pt idx="6">
                  <c:v>15</c:v>
                </c:pt>
                <c:pt idx="7">
                  <c:v>12</c:v>
                </c:pt>
                <c:pt idx="8">
                  <c:v>14</c:v>
                </c:pt>
                <c:pt idx="9">
                  <c:v>10</c:v>
                </c:pt>
                <c:pt idx="10">
                  <c:v>15</c:v>
                </c:pt>
                <c:pt idx="11">
                  <c:v>18</c:v>
                </c:pt>
                <c:pt idx="12">
                  <c:v>15</c:v>
                </c:pt>
                <c:pt idx="13">
                  <c:v>10</c:v>
                </c:pt>
                <c:pt idx="14">
                  <c:v>15</c:v>
                </c:pt>
                <c:pt idx="15">
                  <c:v>18</c:v>
                </c:pt>
              </c:numCache>
            </c:numRef>
          </c:val>
          <c:smooth val="0"/>
        </c:ser>
        <c:ser>
          <c:idx val="1"/>
          <c:order val="1"/>
          <c:tx>
            <c:v>zemřelí</c:v>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'[cz0633 (1).xlsx]List1'!$A$31:$A$46</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'[cz0633 (1).xlsx]List1'!$G$31:$G$46</c:f>
              <c:numCache>
                <c:formatCode>#,##0</c:formatCode>
                <c:ptCount val="16"/>
                <c:pt idx="0">
                  <c:v>18</c:v>
                </c:pt>
                <c:pt idx="1">
                  <c:v>21</c:v>
                </c:pt>
                <c:pt idx="2">
                  <c:v>16</c:v>
                </c:pt>
                <c:pt idx="3">
                  <c:v>28</c:v>
                </c:pt>
                <c:pt idx="4">
                  <c:v>23</c:v>
                </c:pt>
                <c:pt idx="5">
                  <c:v>24</c:v>
                </c:pt>
                <c:pt idx="6">
                  <c:v>17</c:v>
                </c:pt>
                <c:pt idx="7">
                  <c:v>20</c:v>
                </c:pt>
                <c:pt idx="8">
                  <c:v>16</c:v>
                </c:pt>
                <c:pt idx="9">
                  <c:v>19</c:v>
                </c:pt>
                <c:pt idx="10">
                  <c:v>23</c:v>
                </c:pt>
                <c:pt idx="11">
                  <c:v>25</c:v>
                </c:pt>
                <c:pt idx="12">
                  <c:v>25</c:v>
                </c:pt>
                <c:pt idx="13">
                  <c:v>18</c:v>
                </c:pt>
                <c:pt idx="14">
                  <c:v>21</c:v>
                </c:pt>
                <c:pt idx="15">
                  <c:v>31</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570701976"/>
        <c:axId val="570702368"/>
      </c:lineChart>
      <c:catAx>
        <c:axId val="5707019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cs-CZ"/>
          </a:p>
        </c:txPr>
        <c:crossAx val="570702368"/>
        <c:crosses val="autoZero"/>
        <c:auto val="1"/>
        <c:lblAlgn val="ctr"/>
        <c:lblOffset val="100"/>
        <c:noMultiLvlLbl val="0"/>
      </c:catAx>
      <c:valAx>
        <c:axId val="5707023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cs-CZ"/>
          </a:p>
        </c:txPr>
        <c:crossAx val="57070197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cs-CZ"/>
              <a:t>Přirozený a migrační přírůstek v letech 2000-2015</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cs-CZ"/>
        </a:p>
      </c:txPr>
    </c:title>
    <c:autoTitleDeleted val="0"/>
    <c:plotArea>
      <c:layout/>
      <c:barChart>
        <c:barDir val="col"/>
        <c:grouping val="clustered"/>
        <c:varyColors val="0"/>
        <c:ser>
          <c:idx val="0"/>
          <c:order val="0"/>
          <c:tx>
            <c:v>přirozený</c:v>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'[cz0633 (1).xlsx]List1'!$A$31:$A$46</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'[cz0633 (1).xlsx]List1'!$J$31:$J$46</c:f>
              <c:numCache>
                <c:formatCode>#,##0</c:formatCode>
                <c:ptCount val="16"/>
                <c:pt idx="0">
                  <c:v>-6</c:v>
                </c:pt>
                <c:pt idx="1">
                  <c:v>-9</c:v>
                </c:pt>
                <c:pt idx="2">
                  <c:v>1</c:v>
                </c:pt>
                <c:pt idx="3">
                  <c:v>-14</c:v>
                </c:pt>
                <c:pt idx="4">
                  <c:v>-5</c:v>
                </c:pt>
                <c:pt idx="5">
                  <c:v>-12</c:v>
                </c:pt>
                <c:pt idx="6">
                  <c:v>-2</c:v>
                </c:pt>
                <c:pt idx="7">
                  <c:v>-8</c:v>
                </c:pt>
                <c:pt idx="8">
                  <c:v>-2</c:v>
                </c:pt>
                <c:pt idx="9">
                  <c:v>-9</c:v>
                </c:pt>
                <c:pt idx="10">
                  <c:v>-8</c:v>
                </c:pt>
                <c:pt idx="11">
                  <c:v>-7</c:v>
                </c:pt>
                <c:pt idx="12">
                  <c:v>-10</c:v>
                </c:pt>
                <c:pt idx="13">
                  <c:v>-8</c:v>
                </c:pt>
                <c:pt idx="14">
                  <c:v>-6</c:v>
                </c:pt>
                <c:pt idx="15">
                  <c:v>-13</c:v>
                </c:pt>
              </c:numCache>
            </c:numRef>
          </c:val>
        </c:ser>
        <c:ser>
          <c:idx val="1"/>
          <c:order val="1"/>
          <c:tx>
            <c:v>migrační</c:v>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'[cz0633 (1).xlsx]List1'!$A$31:$A$46</c:f>
              <c:strCach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strCache>
            </c:strRef>
          </c:cat>
          <c:val>
            <c:numRef>
              <c:f>'[cz0633 (1).xlsx]List1'!$K$31:$K$46</c:f>
              <c:numCache>
                <c:formatCode>#,##0</c:formatCode>
                <c:ptCount val="16"/>
                <c:pt idx="0">
                  <c:v>2</c:v>
                </c:pt>
                <c:pt idx="1">
                  <c:v>32</c:v>
                </c:pt>
                <c:pt idx="2">
                  <c:v>-1</c:v>
                </c:pt>
                <c:pt idx="3">
                  <c:v>-1</c:v>
                </c:pt>
                <c:pt idx="4">
                  <c:v>12</c:v>
                </c:pt>
                <c:pt idx="5">
                  <c:v>-3</c:v>
                </c:pt>
                <c:pt idx="6">
                  <c:v>-1</c:v>
                </c:pt>
                <c:pt idx="7">
                  <c:v>8</c:v>
                </c:pt>
                <c:pt idx="8">
                  <c:v>-16</c:v>
                </c:pt>
                <c:pt idx="9">
                  <c:v>5</c:v>
                </c:pt>
                <c:pt idx="10">
                  <c:v>11</c:v>
                </c:pt>
                <c:pt idx="11">
                  <c:v>-22</c:v>
                </c:pt>
                <c:pt idx="12">
                  <c:v>18</c:v>
                </c:pt>
                <c:pt idx="13">
                  <c:v>-22</c:v>
                </c:pt>
                <c:pt idx="14">
                  <c:v>-12</c:v>
                </c:pt>
                <c:pt idx="15">
                  <c:v>5</c:v>
                </c:pt>
              </c:numCache>
            </c:numRef>
          </c:val>
        </c:ser>
        <c:dLbls>
          <c:showLegendKey val="0"/>
          <c:showVal val="0"/>
          <c:showCatName val="0"/>
          <c:showSerName val="0"/>
          <c:showPercent val="0"/>
          <c:showBubbleSize val="0"/>
        </c:dLbls>
        <c:gapWidth val="150"/>
        <c:axId val="570703544"/>
        <c:axId val="570703936"/>
      </c:barChart>
      <c:lineChart>
        <c:grouping val="standard"/>
        <c:varyColors val="0"/>
        <c:ser>
          <c:idx val="2"/>
          <c:order val="2"/>
          <c:tx>
            <c:v>celkem</c:v>
          </c:tx>
          <c:spPr>
            <a:ln w="15875" cap="rnd">
              <a:solidFill>
                <a:schemeClr val="accent6"/>
              </a:solidFill>
              <a:round/>
            </a:ln>
            <a:effectLst/>
          </c:spPr>
          <c:marker>
            <c:symbol val="none"/>
          </c:marker>
          <c:val>
            <c:numRef>
              <c:f>'[cz0633 (1).xlsx]List1'!$L$31:$L$46</c:f>
              <c:numCache>
                <c:formatCode>#,##0</c:formatCode>
                <c:ptCount val="16"/>
                <c:pt idx="0">
                  <c:v>-4</c:v>
                </c:pt>
                <c:pt idx="1">
                  <c:v>23</c:v>
                </c:pt>
                <c:pt idx="2">
                  <c:v>0</c:v>
                </c:pt>
                <c:pt idx="3">
                  <c:v>-15</c:v>
                </c:pt>
                <c:pt idx="4">
                  <c:v>7</c:v>
                </c:pt>
                <c:pt idx="5">
                  <c:v>-15</c:v>
                </c:pt>
                <c:pt idx="6">
                  <c:v>-3</c:v>
                </c:pt>
                <c:pt idx="7">
                  <c:v>0</c:v>
                </c:pt>
                <c:pt idx="8">
                  <c:v>-18</c:v>
                </c:pt>
                <c:pt idx="9">
                  <c:v>-4</c:v>
                </c:pt>
                <c:pt idx="10">
                  <c:v>3</c:v>
                </c:pt>
                <c:pt idx="11">
                  <c:v>-29</c:v>
                </c:pt>
                <c:pt idx="12">
                  <c:v>8</c:v>
                </c:pt>
                <c:pt idx="13">
                  <c:v>-30</c:v>
                </c:pt>
                <c:pt idx="14">
                  <c:v>-18</c:v>
                </c:pt>
                <c:pt idx="15">
                  <c:v>-8</c:v>
                </c:pt>
              </c:numCache>
            </c:numRef>
          </c:val>
          <c:smooth val="0"/>
        </c:ser>
        <c:dLbls>
          <c:showLegendKey val="0"/>
          <c:showVal val="0"/>
          <c:showCatName val="0"/>
          <c:showSerName val="0"/>
          <c:showPercent val="0"/>
          <c:showBubbleSize val="0"/>
        </c:dLbls>
        <c:marker val="1"/>
        <c:smooth val="0"/>
        <c:axId val="570703544"/>
        <c:axId val="570703936"/>
      </c:lineChart>
      <c:catAx>
        <c:axId val="5707035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70703936"/>
        <c:crosses val="autoZero"/>
        <c:auto val="0"/>
        <c:lblAlgn val="ctr"/>
        <c:lblOffset val="100"/>
        <c:noMultiLvlLbl val="0"/>
      </c:catAx>
      <c:valAx>
        <c:axId val="57070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crossAx val="5707035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s-CZ"/>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1891</Words>
  <Characters>11161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Brožek</dc:creator>
  <cp:keywords/>
  <dc:description/>
  <cp:lastModifiedBy>Jan Brožek</cp:lastModifiedBy>
  <cp:revision>4</cp:revision>
  <cp:lastPrinted>2017-03-08T15:41:00Z</cp:lastPrinted>
  <dcterms:created xsi:type="dcterms:W3CDTF">2017-03-01T14:46:00Z</dcterms:created>
  <dcterms:modified xsi:type="dcterms:W3CDTF">2017-03-20T07:59:00Z</dcterms:modified>
</cp:coreProperties>
</file>